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76A354" w14:textId="581899DB" w:rsidR="00AE38FB" w:rsidRDefault="00A136F2" w:rsidP="00210B7F">
      <w:pPr>
        <w:rPr>
          <w:rFonts w:ascii="Verdana" w:hAnsi="Verdana"/>
        </w:rPr>
      </w:pPr>
      <w:r>
        <w:rPr>
          <w:rFonts w:ascii="Verdana" w:hAnsi="Verdana"/>
        </w:rPr>
        <w:t xml:space="preserve">Santiago, </w:t>
      </w:r>
      <w:r w:rsidR="003F3E6C">
        <w:rPr>
          <w:rFonts w:ascii="Verdana" w:hAnsi="Verdana"/>
        </w:rPr>
        <w:t>14</w:t>
      </w:r>
      <w:r w:rsidR="00AE38FB">
        <w:rPr>
          <w:rFonts w:ascii="Verdana" w:hAnsi="Verdana"/>
        </w:rPr>
        <w:t xml:space="preserve"> de </w:t>
      </w:r>
      <w:r w:rsidR="00F216E9">
        <w:rPr>
          <w:rFonts w:ascii="Verdana" w:hAnsi="Verdana"/>
        </w:rPr>
        <w:t>mayo</w:t>
      </w:r>
      <w:r w:rsidR="00AE38FB">
        <w:rPr>
          <w:rFonts w:ascii="Verdana" w:hAnsi="Verdana"/>
        </w:rPr>
        <w:t xml:space="preserve"> de 2019</w:t>
      </w:r>
    </w:p>
    <w:p w14:paraId="2964D237" w14:textId="77777777" w:rsidR="00AE38FB" w:rsidRDefault="00AE38FB" w:rsidP="00AE38FB">
      <w:pPr>
        <w:rPr>
          <w:rFonts w:ascii="Verdana" w:hAnsi="Verdana"/>
        </w:rPr>
      </w:pPr>
    </w:p>
    <w:p w14:paraId="1BE155D5" w14:textId="77777777" w:rsidR="00AE38FB" w:rsidRDefault="00AE38FB" w:rsidP="00AE38FB">
      <w:pPr>
        <w:spacing w:after="0"/>
        <w:rPr>
          <w:rFonts w:ascii="Verdana" w:hAnsi="Verdana"/>
        </w:rPr>
      </w:pPr>
      <w:r>
        <w:rPr>
          <w:rFonts w:ascii="Verdana" w:hAnsi="Verdana"/>
        </w:rPr>
        <w:t>Señor</w:t>
      </w:r>
      <w:r w:rsidR="00ED7ED8">
        <w:rPr>
          <w:rFonts w:ascii="Verdana" w:hAnsi="Verdana"/>
        </w:rPr>
        <w:t>a</w:t>
      </w:r>
    </w:p>
    <w:p w14:paraId="2EA69BA8" w14:textId="77777777" w:rsidR="00AE38FB" w:rsidRDefault="00ED7ED8" w:rsidP="00AE38FB">
      <w:pPr>
        <w:spacing w:after="0"/>
        <w:rPr>
          <w:rFonts w:ascii="Verdana" w:hAnsi="Verdana"/>
        </w:rPr>
      </w:pPr>
      <w:r>
        <w:rPr>
          <w:rFonts w:ascii="Verdana" w:hAnsi="Verdana"/>
        </w:rPr>
        <w:t>Andelka Vrsalovic Melo</w:t>
      </w:r>
    </w:p>
    <w:p w14:paraId="48AE3640" w14:textId="77777777" w:rsidR="00AE38FB" w:rsidRDefault="00AE38FB" w:rsidP="00AE38FB">
      <w:pPr>
        <w:spacing w:after="0"/>
        <w:rPr>
          <w:rFonts w:ascii="Verdana" w:hAnsi="Verdana"/>
        </w:rPr>
      </w:pPr>
      <w:r>
        <w:rPr>
          <w:rFonts w:ascii="Verdana" w:hAnsi="Verdana"/>
        </w:rPr>
        <w:t>Director</w:t>
      </w:r>
      <w:r w:rsidR="00ED7ED8">
        <w:rPr>
          <w:rFonts w:ascii="Verdana" w:hAnsi="Verdana"/>
        </w:rPr>
        <w:t>a</w:t>
      </w:r>
      <w:r>
        <w:rPr>
          <w:rFonts w:ascii="Verdana" w:hAnsi="Verdana"/>
        </w:rPr>
        <w:t xml:space="preserve"> </w:t>
      </w:r>
      <w:r w:rsidR="00ED7ED8">
        <w:rPr>
          <w:rFonts w:ascii="Verdana" w:hAnsi="Verdana"/>
        </w:rPr>
        <w:t>Regional</w:t>
      </w:r>
      <w:r>
        <w:rPr>
          <w:rFonts w:ascii="Verdana" w:hAnsi="Verdana"/>
        </w:rPr>
        <w:t xml:space="preserve"> Servicio de Evaluación Ambiental</w:t>
      </w:r>
    </w:p>
    <w:p w14:paraId="5E641442" w14:textId="77777777" w:rsidR="00ED7ED8" w:rsidRDefault="00ED7ED8" w:rsidP="00AE38FB">
      <w:pPr>
        <w:spacing w:after="0"/>
        <w:rPr>
          <w:rFonts w:ascii="Verdana" w:hAnsi="Verdana"/>
        </w:rPr>
      </w:pPr>
      <w:r>
        <w:rPr>
          <w:rFonts w:ascii="Verdana" w:hAnsi="Verdana"/>
        </w:rPr>
        <w:t>Región Metropolitana</w:t>
      </w:r>
    </w:p>
    <w:p w14:paraId="406A0E1B" w14:textId="77777777" w:rsidR="00AE38FB" w:rsidRDefault="00AE38FB" w:rsidP="00AE38FB">
      <w:pPr>
        <w:spacing w:after="0"/>
        <w:rPr>
          <w:rFonts w:ascii="Verdana" w:hAnsi="Verdana"/>
          <w:u w:val="single"/>
        </w:rPr>
      </w:pPr>
      <w:r>
        <w:rPr>
          <w:rFonts w:ascii="Verdana" w:hAnsi="Verdana"/>
          <w:u w:val="single"/>
        </w:rPr>
        <w:t>Presente</w:t>
      </w:r>
    </w:p>
    <w:p w14:paraId="3FABEB63" w14:textId="77777777" w:rsidR="00AE38FB" w:rsidRDefault="00AE38FB" w:rsidP="00AE38FB">
      <w:pPr>
        <w:jc w:val="both"/>
        <w:rPr>
          <w:rFonts w:ascii="Verdana" w:hAnsi="Verdana"/>
          <w:b/>
        </w:rPr>
      </w:pPr>
    </w:p>
    <w:p w14:paraId="41721D0A" w14:textId="77777777" w:rsidR="000721A3" w:rsidRDefault="000721A3" w:rsidP="00AE38FB">
      <w:pPr>
        <w:jc w:val="both"/>
        <w:rPr>
          <w:rFonts w:ascii="Verdana" w:hAnsi="Verdana"/>
          <w:b/>
        </w:rPr>
      </w:pPr>
    </w:p>
    <w:p w14:paraId="51D0EDEF" w14:textId="77777777" w:rsidR="00AE38FB" w:rsidRDefault="00AE38FB" w:rsidP="00AE38FB">
      <w:pPr>
        <w:ind w:left="705" w:hanging="705"/>
        <w:jc w:val="both"/>
        <w:rPr>
          <w:rFonts w:ascii="Verdana" w:hAnsi="Verdana"/>
          <w:u w:val="single"/>
        </w:rPr>
      </w:pPr>
      <w:r>
        <w:rPr>
          <w:rFonts w:ascii="Verdana" w:hAnsi="Verdana"/>
          <w:b/>
        </w:rPr>
        <w:t>Ant.:</w:t>
      </w:r>
      <w:r>
        <w:rPr>
          <w:rFonts w:ascii="Verdana" w:hAnsi="Verdana"/>
        </w:rPr>
        <w:t xml:space="preserve"> </w:t>
      </w:r>
      <w:r>
        <w:rPr>
          <w:rFonts w:ascii="Verdana" w:hAnsi="Verdana"/>
        </w:rPr>
        <w:tab/>
      </w:r>
      <w:r w:rsidR="006B0EE0">
        <w:rPr>
          <w:rFonts w:ascii="Verdana" w:hAnsi="Verdana"/>
          <w:u w:val="single"/>
        </w:rPr>
        <w:t xml:space="preserve">Resolución Exenta N°385/2007, COREMA RM; Resolución Exenta N°465/2013, Comisión de Evaluación RM. </w:t>
      </w:r>
    </w:p>
    <w:p w14:paraId="5744D9D7" w14:textId="77777777" w:rsidR="00AE38FB" w:rsidRDefault="00AE38FB" w:rsidP="00AE38FB">
      <w:pPr>
        <w:ind w:left="705" w:hanging="705"/>
        <w:jc w:val="both"/>
        <w:rPr>
          <w:rFonts w:ascii="Verdana" w:hAnsi="Verdana"/>
          <w:u w:val="single"/>
        </w:rPr>
      </w:pPr>
    </w:p>
    <w:p w14:paraId="0765FC27" w14:textId="1E1EB3EB" w:rsidR="00AE38FB" w:rsidRDefault="00AE38FB" w:rsidP="00AE38FB">
      <w:pPr>
        <w:ind w:left="705" w:hanging="705"/>
        <w:jc w:val="both"/>
        <w:rPr>
          <w:rFonts w:ascii="Verdana" w:hAnsi="Verdana"/>
        </w:rPr>
      </w:pPr>
      <w:r>
        <w:rPr>
          <w:rFonts w:ascii="Verdana" w:hAnsi="Verdana"/>
          <w:b/>
        </w:rPr>
        <w:t>Ref.:</w:t>
      </w:r>
      <w:r>
        <w:rPr>
          <w:rFonts w:ascii="Verdana" w:hAnsi="Verdana"/>
        </w:rPr>
        <w:t xml:space="preserve"> </w:t>
      </w:r>
      <w:r>
        <w:rPr>
          <w:rFonts w:ascii="Verdana" w:hAnsi="Verdana"/>
        </w:rPr>
        <w:tab/>
      </w:r>
      <w:r w:rsidR="00FC22CA" w:rsidRPr="00FC22CA">
        <w:rPr>
          <w:rFonts w:ascii="Verdana" w:hAnsi="Verdana"/>
          <w:b/>
          <w:u w:val="single"/>
        </w:rPr>
        <w:t>(i)</w:t>
      </w:r>
      <w:r w:rsidR="00FC22CA" w:rsidRPr="00FC22CA">
        <w:rPr>
          <w:rFonts w:ascii="Verdana" w:hAnsi="Verdana"/>
          <w:u w:val="single"/>
        </w:rPr>
        <w:t xml:space="preserve"> </w:t>
      </w:r>
      <w:r w:rsidR="006B0EE0">
        <w:rPr>
          <w:rFonts w:ascii="Verdana" w:hAnsi="Verdana"/>
          <w:u w:val="single"/>
        </w:rPr>
        <w:t xml:space="preserve">Consulta de Pertinencia sobre </w:t>
      </w:r>
      <w:r w:rsidR="00BD7072">
        <w:rPr>
          <w:rFonts w:ascii="Verdana" w:hAnsi="Verdana"/>
          <w:u w:val="single"/>
        </w:rPr>
        <w:t xml:space="preserve">eventual </w:t>
      </w:r>
      <w:r w:rsidR="006B0EE0">
        <w:rPr>
          <w:rFonts w:ascii="Verdana" w:hAnsi="Verdana"/>
          <w:u w:val="single"/>
        </w:rPr>
        <w:t>modificación al Proyecto “</w:t>
      </w:r>
      <w:r w:rsidR="00CD4FE8">
        <w:rPr>
          <w:rFonts w:ascii="Verdana" w:hAnsi="Verdana"/>
          <w:u w:val="single"/>
        </w:rPr>
        <w:t>Regularización y Mejoramiento de</w:t>
      </w:r>
      <w:r w:rsidR="006B0EE0">
        <w:rPr>
          <w:rFonts w:ascii="Verdana" w:hAnsi="Verdana"/>
          <w:u w:val="single"/>
        </w:rPr>
        <w:t>l Sistema de Tratamiento de RILes Aconcagua Foods”</w:t>
      </w:r>
      <w:r w:rsidR="00FC22CA">
        <w:rPr>
          <w:rFonts w:ascii="Verdana" w:hAnsi="Verdana"/>
          <w:u w:val="single"/>
        </w:rPr>
        <w:t xml:space="preserve">; y, </w:t>
      </w:r>
      <w:r w:rsidR="00FC22CA" w:rsidRPr="00FC22CA">
        <w:rPr>
          <w:rFonts w:ascii="Verdana" w:hAnsi="Verdana"/>
          <w:b/>
          <w:u w:val="single"/>
        </w:rPr>
        <w:t>(ii)</w:t>
      </w:r>
      <w:r w:rsidR="00FC22CA">
        <w:rPr>
          <w:rFonts w:ascii="Verdana" w:hAnsi="Verdana"/>
          <w:u w:val="single"/>
        </w:rPr>
        <w:t xml:space="preserve"> acompaña documentos</w:t>
      </w:r>
      <w:r w:rsidR="006B0EE0">
        <w:rPr>
          <w:rFonts w:ascii="Verdana" w:hAnsi="Verdana"/>
          <w:u w:val="single"/>
        </w:rPr>
        <w:t>.</w:t>
      </w:r>
      <w:r>
        <w:rPr>
          <w:rFonts w:ascii="Verdana" w:hAnsi="Verdana"/>
          <w:u w:val="single"/>
        </w:rPr>
        <w:t xml:space="preserve"> </w:t>
      </w:r>
      <w:r>
        <w:rPr>
          <w:rFonts w:ascii="Verdana" w:hAnsi="Verdana"/>
        </w:rPr>
        <w:t xml:space="preserve"> </w:t>
      </w:r>
    </w:p>
    <w:p w14:paraId="6E871EFC" w14:textId="77777777" w:rsidR="00AE38FB" w:rsidRDefault="00AE38FB" w:rsidP="00AE38FB">
      <w:pPr>
        <w:ind w:left="705" w:hanging="705"/>
        <w:jc w:val="both"/>
        <w:rPr>
          <w:rFonts w:ascii="Verdana" w:hAnsi="Verdana"/>
        </w:rPr>
      </w:pPr>
    </w:p>
    <w:p w14:paraId="50BC99F0" w14:textId="77777777" w:rsidR="00AE38FB" w:rsidRDefault="00AE38FB" w:rsidP="00AE38FB">
      <w:pPr>
        <w:ind w:left="705" w:hanging="705"/>
        <w:jc w:val="both"/>
        <w:rPr>
          <w:rFonts w:ascii="Verdana" w:hAnsi="Verdana"/>
        </w:rPr>
      </w:pPr>
      <w:r>
        <w:rPr>
          <w:rFonts w:ascii="Verdana" w:hAnsi="Verdana"/>
        </w:rPr>
        <w:t>De mi consideración,</w:t>
      </w:r>
    </w:p>
    <w:p w14:paraId="6E6A77B5" w14:textId="77777777" w:rsidR="00AE38FB" w:rsidRDefault="00AE38FB" w:rsidP="00AE38FB">
      <w:pPr>
        <w:ind w:left="705" w:hanging="705"/>
        <w:jc w:val="both"/>
        <w:rPr>
          <w:rFonts w:ascii="Verdana" w:hAnsi="Verdana"/>
        </w:rPr>
      </w:pPr>
    </w:p>
    <w:p w14:paraId="057F4DB3" w14:textId="77777777" w:rsidR="00AE38FB" w:rsidRDefault="00AE38FB" w:rsidP="00827EBF">
      <w:pPr>
        <w:ind w:firstLine="705"/>
        <w:jc w:val="both"/>
        <w:rPr>
          <w:rFonts w:ascii="Verdana" w:hAnsi="Verdana"/>
        </w:rPr>
      </w:pPr>
      <w:r>
        <w:rPr>
          <w:rFonts w:ascii="Verdana" w:hAnsi="Verdana"/>
        </w:rPr>
        <w:t>En representación de la empresa “Aconcagua Foods S.A.”, sociedad del giro elaboración de conservas y productos alimenticios, RUT N°76.099.789-7, domiciliada en calle José Alberto Bravo N°0278, comuna de Buin (en lo sucesivo, “Aconcagua</w:t>
      </w:r>
      <w:r w:rsidR="00CD4FE8">
        <w:rPr>
          <w:rFonts w:ascii="Verdana" w:hAnsi="Verdana"/>
        </w:rPr>
        <w:t xml:space="preserve">”), según personería que acompaño a la presente carta, solicito respetuosamente a usted se pronuncie </w:t>
      </w:r>
      <w:r w:rsidR="001F4CAA">
        <w:rPr>
          <w:rFonts w:ascii="Verdana" w:hAnsi="Verdana"/>
        </w:rPr>
        <w:t>acerca de los aspectos que se exponen en la presente, para de</w:t>
      </w:r>
      <w:r w:rsidR="006F1260">
        <w:rPr>
          <w:rFonts w:ascii="Verdana" w:hAnsi="Verdana"/>
        </w:rPr>
        <w:t>terminar si estos configuran modificaciones</w:t>
      </w:r>
      <w:r w:rsidR="001F4CAA">
        <w:rPr>
          <w:rFonts w:ascii="Verdana" w:hAnsi="Verdana"/>
        </w:rPr>
        <w:t xml:space="preserve"> </w:t>
      </w:r>
      <w:r w:rsidR="00CD4FE8">
        <w:rPr>
          <w:rFonts w:ascii="Verdana" w:hAnsi="Verdana"/>
        </w:rPr>
        <w:t>del proyecto que con fecha 24 de septiembre de 2013, la Comisión de Evaluación Ambiental calificó favorablemente bajo el nombre “Regularización y Mejoramiento del Sistema de Tratamiento de RILes Aconcagua Foods”</w:t>
      </w:r>
      <w:r w:rsidR="00F216E9">
        <w:rPr>
          <w:rFonts w:ascii="Verdana" w:hAnsi="Verdana"/>
        </w:rPr>
        <w:t>.</w:t>
      </w:r>
      <w:r w:rsidR="00491B20">
        <w:rPr>
          <w:rFonts w:ascii="Verdana" w:hAnsi="Verdana"/>
        </w:rPr>
        <w:t xml:space="preserve"> </w:t>
      </w:r>
    </w:p>
    <w:p w14:paraId="253089AD" w14:textId="761310F0" w:rsidR="00FC22CA" w:rsidRPr="00FC22CA" w:rsidRDefault="00FC22CA" w:rsidP="00FC22CA">
      <w:pPr>
        <w:jc w:val="center"/>
        <w:rPr>
          <w:rFonts w:ascii="Verdana" w:hAnsi="Verdana"/>
          <w:b/>
        </w:rPr>
      </w:pPr>
      <w:r w:rsidRPr="00FC22CA">
        <w:rPr>
          <w:rFonts w:ascii="Verdana" w:hAnsi="Verdana"/>
          <w:b/>
        </w:rPr>
        <w:t>I.</w:t>
      </w:r>
      <w:r w:rsidRPr="00FC22CA">
        <w:rPr>
          <w:rFonts w:ascii="Verdana" w:hAnsi="Verdana"/>
          <w:b/>
        </w:rPr>
        <w:tab/>
      </w:r>
      <w:r w:rsidRPr="00FC22CA">
        <w:rPr>
          <w:rFonts w:ascii="Verdana" w:hAnsi="Verdana"/>
          <w:b/>
          <w:u w:val="single"/>
        </w:rPr>
        <w:t>ANTECEDENTES DEL TITULAR</w:t>
      </w:r>
      <w:r>
        <w:rPr>
          <w:rFonts w:ascii="Verdana" w:hAnsi="Verdana"/>
          <w:b/>
          <w:u w:val="single"/>
        </w:rPr>
        <w:t xml:space="preserve"> Y PROYECTO</w:t>
      </w:r>
      <w:r w:rsidRPr="00FC22CA">
        <w:rPr>
          <w:rFonts w:ascii="Verdana" w:hAnsi="Verdana"/>
          <w:b/>
          <w:u w:val="single"/>
        </w:rPr>
        <w:t>.</w:t>
      </w:r>
    </w:p>
    <w:p w14:paraId="7FD471B6" w14:textId="521E78F4" w:rsidR="00491B20" w:rsidRDefault="00491B20" w:rsidP="00FC22CA">
      <w:pPr>
        <w:ind w:firstLine="705"/>
        <w:jc w:val="both"/>
        <w:rPr>
          <w:rFonts w:ascii="Verdana" w:hAnsi="Verdana"/>
        </w:rPr>
      </w:pPr>
      <w:r>
        <w:rPr>
          <w:rFonts w:ascii="Verdana" w:hAnsi="Verdana"/>
        </w:rPr>
        <w:t>Los antecedentes del Titular del Proyecto y de su representante legal, son los siguientes:</w:t>
      </w:r>
    </w:p>
    <w:p w14:paraId="141B6156" w14:textId="77777777" w:rsidR="00491B20" w:rsidRPr="00E07248" w:rsidRDefault="00491B20" w:rsidP="00491B20">
      <w:pPr>
        <w:ind w:firstLine="705"/>
        <w:jc w:val="both"/>
        <w:rPr>
          <w:rFonts w:ascii="Verdana" w:hAnsi="Verdana"/>
          <w:b/>
        </w:rPr>
      </w:pPr>
      <w:r w:rsidRPr="00E07248">
        <w:rPr>
          <w:rFonts w:ascii="Verdana" w:hAnsi="Verdana"/>
          <w:b/>
        </w:rPr>
        <w:t>Antecedentes del Titular</w:t>
      </w:r>
    </w:p>
    <w:p w14:paraId="7971CA6C" w14:textId="77777777" w:rsidR="00491B20" w:rsidRPr="00491B20" w:rsidRDefault="00491B20" w:rsidP="00491B20">
      <w:pPr>
        <w:ind w:firstLine="705"/>
        <w:jc w:val="both"/>
        <w:rPr>
          <w:rFonts w:ascii="Verdana" w:hAnsi="Verdana"/>
        </w:rPr>
      </w:pPr>
      <w:r w:rsidRPr="00491B20">
        <w:rPr>
          <w:rFonts w:ascii="Verdana" w:hAnsi="Verdana"/>
        </w:rPr>
        <w:t>Nombre</w:t>
      </w:r>
      <w:r w:rsidRPr="00491B20">
        <w:rPr>
          <w:rFonts w:ascii="Verdana" w:hAnsi="Verdana"/>
        </w:rPr>
        <w:tab/>
        <w:t>:</w:t>
      </w:r>
      <w:r w:rsidRPr="00491B20">
        <w:rPr>
          <w:rFonts w:ascii="Verdana" w:hAnsi="Verdana"/>
        </w:rPr>
        <w:tab/>
      </w:r>
      <w:r>
        <w:rPr>
          <w:rFonts w:ascii="Verdana" w:hAnsi="Verdana"/>
        </w:rPr>
        <w:t xml:space="preserve">Aconcagua Foods S.A. </w:t>
      </w:r>
    </w:p>
    <w:p w14:paraId="1D6F9B8E" w14:textId="77777777" w:rsidR="00491B20" w:rsidRPr="00491B20" w:rsidRDefault="00491B20" w:rsidP="00491B20">
      <w:pPr>
        <w:ind w:firstLine="705"/>
        <w:jc w:val="both"/>
        <w:rPr>
          <w:rFonts w:ascii="Verdana" w:hAnsi="Verdana"/>
        </w:rPr>
      </w:pPr>
      <w:r w:rsidRPr="00491B20">
        <w:rPr>
          <w:rFonts w:ascii="Verdana" w:hAnsi="Verdana"/>
        </w:rPr>
        <w:t>RUT</w:t>
      </w:r>
      <w:r w:rsidRPr="00491B20">
        <w:rPr>
          <w:rFonts w:ascii="Verdana" w:hAnsi="Verdana"/>
        </w:rPr>
        <w:tab/>
      </w:r>
      <w:r>
        <w:rPr>
          <w:rFonts w:ascii="Verdana" w:hAnsi="Verdana"/>
        </w:rPr>
        <w:tab/>
      </w:r>
      <w:r w:rsidRPr="00491B20">
        <w:rPr>
          <w:rFonts w:ascii="Verdana" w:hAnsi="Verdana"/>
        </w:rPr>
        <w:t>:</w:t>
      </w:r>
      <w:r w:rsidRPr="00491B20">
        <w:rPr>
          <w:rFonts w:ascii="Verdana" w:hAnsi="Verdana"/>
        </w:rPr>
        <w:tab/>
      </w:r>
      <w:r>
        <w:rPr>
          <w:rFonts w:ascii="Verdana" w:hAnsi="Verdana"/>
        </w:rPr>
        <w:t>76.099.789-7</w:t>
      </w:r>
    </w:p>
    <w:p w14:paraId="5DAF560C" w14:textId="2EAB0253" w:rsidR="00491B20" w:rsidRDefault="00491B20" w:rsidP="00491B20">
      <w:pPr>
        <w:ind w:firstLine="705"/>
        <w:jc w:val="both"/>
        <w:rPr>
          <w:rFonts w:ascii="Verdana" w:hAnsi="Verdana"/>
        </w:rPr>
      </w:pPr>
      <w:r w:rsidRPr="00491B20">
        <w:rPr>
          <w:rFonts w:ascii="Verdana" w:hAnsi="Verdana"/>
        </w:rPr>
        <w:lastRenderedPageBreak/>
        <w:t>Dirección</w:t>
      </w:r>
      <w:r w:rsidRPr="00491B20">
        <w:rPr>
          <w:rFonts w:ascii="Verdana" w:hAnsi="Verdana"/>
        </w:rPr>
        <w:tab/>
        <w:t>:</w:t>
      </w:r>
      <w:r w:rsidRPr="00491B20">
        <w:rPr>
          <w:rFonts w:ascii="Verdana" w:hAnsi="Verdana"/>
        </w:rPr>
        <w:tab/>
      </w:r>
      <w:r>
        <w:rPr>
          <w:rFonts w:ascii="Verdana" w:hAnsi="Verdana"/>
        </w:rPr>
        <w:t>José Alberto Bravo</w:t>
      </w:r>
      <w:r w:rsidR="00127AA2">
        <w:rPr>
          <w:rFonts w:ascii="Verdana" w:hAnsi="Verdana"/>
        </w:rPr>
        <w:t xml:space="preserve"> N°0278</w:t>
      </w:r>
      <w:r w:rsidR="00D673D9">
        <w:rPr>
          <w:rFonts w:ascii="Verdana" w:hAnsi="Verdana"/>
        </w:rPr>
        <w:t>.</w:t>
      </w:r>
      <w:r w:rsidR="00127AA2">
        <w:rPr>
          <w:rFonts w:ascii="Verdana" w:hAnsi="Verdana"/>
        </w:rPr>
        <w:t xml:space="preserve"> </w:t>
      </w:r>
    </w:p>
    <w:p w14:paraId="7184FF58" w14:textId="1644C0F7" w:rsidR="00D673D9" w:rsidRDefault="00D673D9" w:rsidP="00491B20">
      <w:pPr>
        <w:ind w:firstLine="705"/>
        <w:jc w:val="both"/>
        <w:rPr>
          <w:rFonts w:ascii="Verdana" w:hAnsi="Verdana"/>
        </w:rPr>
      </w:pPr>
      <w:r>
        <w:rPr>
          <w:rFonts w:ascii="Verdana" w:hAnsi="Verdana"/>
        </w:rPr>
        <w:t>Comuna</w:t>
      </w:r>
      <w:r>
        <w:rPr>
          <w:rFonts w:ascii="Verdana" w:hAnsi="Verdana"/>
        </w:rPr>
        <w:tab/>
        <w:t>:</w:t>
      </w:r>
      <w:r>
        <w:rPr>
          <w:rFonts w:ascii="Verdana" w:hAnsi="Verdana"/>
        </w:rPr>
        <w:tab/>
        <w:t>Buin</w:t>
      </w:r>
    </w:p>
    <w:p w14:paraId="2A8504CB" w14:textId="77777777" w:rsidR="00127AA2" w:rsidRDefault="00127AA2" w:rsidP="00491B20">
      <w:pPr>
        <w:ind w:firstLine="705"/>
        <w:jc w:val="both"/>
        <w:rPr>
          <w:rFonts w:ascii="Verdana" w:hAnsi="Verdana"/>
        </w:rPr>
      </w:pPr>
      <w:r>
        <w:rPr>
          <w:rFonts w:ascii="Verdana" w:hAnsi="Verdana"/>
        </w:rPr>
        <w:t>Provincia</w:t>
      </w:r>
      <w:r>
        <w:rPr>
          <w:rFonts w:ascii="Verdana" w:hAnsi="Verdana"/>
        </w:rPr>
        <w:tab/>
        <w:t>:</w:t>
      </w:r>
      <w:r>
        <w:rPr>
          <w:rFonts w:ascii="Verdana" w:hAnsi="Verdana"/>
        </w:rPr>
        <w:tab/>
        <w:t>Maipo</w:t>
      </w:r>
    </w:p>
    <w:p w14:paraId="4C15B1F1" w14:textId="77777777" w:rsidR="00127AA2" w:rsidRPr="00491B20" w:rsidRDefault="00127AA2" w:rsidP="00491B20">
      <w:pPr>
        <w:ind w:firstLine="705"/>
        <w:jc w:val="both"/>
        <w:rPr>
          <w:rFonts w:ascii="Verdana" w:hAnsi="Verdana"/>
        </w:rPr>
      </w:pPr>
      <w:r>
        <w:rPr>
          <w:rFonts w:ascii="Verdana" w:hAnsi="Verdana"/>
        </w:rPr>
        <w:t>Región</w:t>
      </w:r>
      <w:r>
        <w:rPr>
          <w:rFonts w:ascii="Verdana" w:hAnsi="Verdana"/>
        </w:rPr>
        <w:tab/>
        <w:t>:</w:t>
      </w:r>
      <w:r>
        <w:rPr>
          <w:rFonts w:ascii="Verdana" w:hAnsi="Verdana"/>
        </w:rPr>
        <w:tab/>
        <w:t>Región Metropolitana</w:t>
      </w:r>
    </w:p>
    <w:p w14:paraId="77584E5A" w14:textId="77777777" w:rsidR="00491B20" w:rsidRPr="00491B20" w:rsidRDefault="00491B20" w:rsidP="00491B20">
      <w:pPr>
        <w:ind w:firstLine="705"/>
        <w:jc w:val="both"/>
        <w:rPr>
          <w:rFonts w:ascii="Verdana" w:hAnsi="Verdana"/>
        </w:rPr>
      </w:pPr>
      <w:r w:rsidRPr="00491B20">
        <w:rPr>
          <w:rFonts w:ascii="Verdana" w:hAnsi="Verdana"/>
        </w:rPr>
        <w:t>Teléfono</w:t>
      </w:r>
      <w:r w:rsidRPr="00491B20">
        <w:rPr>
          <w:rFonts w:ascii="Verdana" w:hAnsi="Verdana"/>
        </w:rPr>
        <w:tab/>
        <w:t>:</w:t>
      </w:r>
      <w:r w:rsidRPr="00491B20">
        <w:rPr>
          <w:rFonts w:ascii="Verdana" w:hAnsi="Verdana"/>
        </w:rPr>
        <w:tab/>
        <w:t>(56 2) 2821 8280</w:t>
      </w:r>
    </w:p>
    <w:p w14:paraId="11C2D0CE" w14:textId="1B7D0317" w:rsidR="00491B20" w:rsidRPr="00491B20" w:rsidRDefault="00491B20" w:rsidP="00491B20">
      <w:pPr>
        <w:ind w:firstLine="705"/>
        <w:jc w:val="both"/>
        <w:rPr>
          <w:rFonts w:ascii="Verdana" w:hAnsi="Verdana"/>
        </w:rPr>
      </w:pPr>
      <w:r w:rsidRPr="00491B20">
        <w:rPr>
          <w:rFonts w:ascii="Verdana" w:hAnsi="Verdana"/>
        </w:rPr>
        <w:t>Mail</w:t>
      </w:r>
      <w:r w:rsidRPr="00491B20">
        <w:rPr>
          <w:rFonts w:ascii="Verdana" w:hAnsi="Verdana"/>
        </w:rPr>
        <w:tab/>
      </w:r>
      <w:r w:rsidRPr="00491B20">
        <w:rPr>
          <w:rFonts w:ascii="Verdana" w:hAnsi="Verdana"/>
        </w:rPr>
        <w:tab/>
      </w:r>
      <w:r>
        <w:rPr>
          <w:rFonts w:ascii="Verdana" w:hAnsi="Verdana"/>
        </w:rPr>
        <w:t>:</w:t>
      </w:r>
      <w:r>
        <w:rPr>
          <w:rFonts w:ascii="Verdana" w:hAnsi="Verdana"/>
        </w:rPr>
        <w:tab/>
      </w:r>
      <w:hyperlink r:id="rId9" w:history="1">
        <w:r w:rsidR="00FC22CA" w:rsidRPr="00700249">
          <w:rPr>
            <w:rStyle w:val="Hipervnculo"/>
            <w:rFonts w:ascii="Verdana" w:hAnsi="Verdana"/>
          </w:rPr>
          <w:t>etrujillo@aconcaguafoods.cl</w:t>
        </w:r>
      </w:hyperlink>
    </w:p>
    <w:p w14:paraId="79D116EB" w14:textId="77777777" w:rsidR="00491B20" w:rsidRPr="00E07248" w:rsidRDefault="00491B20" w:rsidP="00491B20">
      <w:pPr>
        <w:ind w:firstLine="705"/>
        <w:jc w:val="both"/>
        <w:rPr>
          <w:rFonts w:ascii="Verdana" w:hAnsi="Verdana"/>
          <w:b/>
        </w:rPr>
      </w:pPr>
      <w:r w:rsidRPr="00E07248">
        <w:rPr>
          <w:rFonts w:ascii="Verdana" w:hAnsi="Verdana"/>
          <w:b/>
        </w:rPr>
        <w:t>Antec</w:t>
      </w:r>
      <w:r w:rsidRPr="00922423">
        <w:rPr>
          <w:rFonts w:ascii="Verdana" w:hAnsi="Verdana"/>
          <w:b/>
        </w:rPr>
        <w:t xml:space="preserve">edentes del </w:t>
      </w:r>
      <w:r w:rsidRPr="00E07248">
        <w:rPr>
          <w:rFonts w:ascii="Verdana" w:hAnsi="Verdana"/>
          <w:b/>
        </w:rPr>
        <w:t>Representante Legal</w:t>
      </w:r>
    </w:p>
    <w:p w14:paraId="65693C64" w14:textId="77777777" w:rsidR="00491B20" w:rsidRPr="00491B20" w:rsidRDefault="00491B20" w:rsidP="00491B20">
      <w:pPr>
        <w:ind w:firstLine="705"/>
        <w:jc w:val="both"/>
        <w:rPr>
          <w:rFonts w:ascii="Verdana" w:hAnsi="Verdana"/>
        </w:rPr>
      </w:pPr>
      <w:r w:rsidRPr="00491B20">
        <w:rPr>
          <w:rFonts w:ascii="Verdana" w:hAnsi="Verdana"/>
        </w:rPr>
        <w:t>Nombre</w:t>
      </w:r>
      <w:r w:rsidRPr="00491B20">
        <w:rPr>
          <w:rFonts w:ascii="Verdana" w:hAnsi="Verdana"/>
        </w:rPr>
        <w:tab/>
        <w:t>:</w:t>
      </w:r>
      <w:r w:rsidRPr="00491B20">
        <w:rPr>
          <w:rFonts w:ascii="Verdana" w:hAnsi="Verdana"/>
        </w:rPr>
        <w:tab/>
      </w:r>
      <w:r w:rsidR="00127AA2">
        <w:rPr>
          <w:rFonts w:ascii="Verdana" w:hAnsi="Verdana"/>
        </w:rPr>
        <w:t>Beatriz Graciela Riveros de Gatica</w:t>
      </w:r>
    </w:p>
    <w:p w14:paraId="113EAE75" w14:textId="77777777" w:rsidR="00491B20" w:rsidRPr="00491B20" w:rsidRDefault="00491B20" w:rsidP="00491B20">
      <w:pPr>
        <w:ind w:firstLine="705"/>
        <w:jc w:val="both"/>
        <w:rPr>
          <w:rFonts w:ascii="Verdana" w:hAnsi="Verdana"/>
        </w:rPr>
      </w:pPr>
      <w:r w:rsidRPr="00491B20">
        <w:rPr>
          <w:rFonts w:ascii="Verdana" w:hAnsi="Verdana"/>
        </w:rPr>
        <w:t>RUT</w:t>
      </w:r>
      <w:r w:rsidRPr="00491B20">
        <w:rPr>
          <w:rFonts w:ascii="Verdana" w:hAnsi="Verdana"/>
        </w:rPr>
        <w:tab/>
      </w:r>
      <w:r w:rsidR="00127AA2">
        <w:rPr>
          <w:rFonts w:ascii="Verdana" w:hAnsi="Verdana"/>
        </w:rPr>
        <w:tab/>
      </w:r>
      <w:r w:rsidRPr="00491B20">
        <w:rPr>
          <w:rFonts w:ascii="Verdana" w:hAnsi="Verdana"/>
        </w:rPr>
        <w:t>:</w:t>
      </w:r>
      <w:r w:rsidRPr="00491B20">
        <w:rPr>
          <w:rFonts w:ascii="Verdana" w:hAnsi="Verdana"/>
        </w:rPr>
        <w:tab/>
      </w:r>
      <w:r w:rsidR="00127AA2">
        <w:rPr>
          <w:rFonts w:ascii="Verdana" w:hAnsi="Verdana"/>
        </w:rPr>
        <w:t>15.367.738-7</w:t>
      </w:r>
    </w:p>
    <w:p w14:paraId="2CB78816" w14:textId="77777777" w:rsidR="00491B20" w:rsidRPr="00491B20" w:rsidRDefault="00491B20" w:rsidP="00491B20">
      <w:pPr>
        <w:ind w:firstLine="705"/>
        <w:jc w:val="both"/>
        <w:rPr>
          <w:rFonts w:ascii="Verdana" w:hAnsi="Verdana"/>
        </w:rPr>
      </w:pPr>
      <w:r w:rsidRPr="00491B20">
        <w:rPr>
          <w:rFonts w:ascii="Verdana" w:hAnsi="Verdana"/>
        </w:rPr>
        <w:t>Domicilio</w:t>
      </w:r>
      <w:r w:rsidRPr="00491B20">
        <w:rPr>
          <w:rFonts w:ascii="Verdana" w:hAnsi="Verdana"/>
        </w:rPr>
        <w:tab/>
        <w:t>:</w:t>
      </w:r>
      <w:r w:rsidRPr="00491B20">
        <w:rPr>
          <w:rFonts w:ascii="Verdana" w:hAnsi="Verdana"/>
        </w:rPr>
        <w:tab/>
      </w:r>
      <w:r w:rsidR="00127AA2">
        <w:rPr>
          <w:rFonts w:ascii="Verdana" w:hAnsi="Verdana"/>
        </w:rPr>
        <w:t xml:space="preserve">Benjamín N°2960, comuna de Las Condes. </w:t>
      </w:r>
    </w:p>
    <w:p w14:paraId="17EC75B5" w14:textId="77777777" w:rsidR="00491B20" w:rsidRPr="00491B20" w:rsidRDefault="00491B20" w:rsidP="00491B20">
      <w:pPr>
        <w:ind w:firstLine="705"/>
        <w:jc w:val="both"/>
        <w:rPr>
          <w:rFonts w:ascii="Verdana" w:hAnsi="Verdana"/>
        </w:rPr>
      </w:pPr>
      <w:r w:rsidRPr="00491B20">
        <w:rPr>
          <w:rFonts w:ascii="Verdana" w:hAnsi="Verdana"/>
        </w:rPr>
        <w:t>Teléfono</w:t>
      </w:r>
      <w:r w:rsidRPr="00491B20">
        <w:rPr>
          <w:rFonts w:ascii="Verdana" w:hAnsi="Verdana"/>
        </w:rPr>
        <w:tab/>
        <w:t>:</w:t>
      </w:r>
      <w:r w:rsidRPr="00491B20">
        <w:rPr>
          <w:rFonts w:ascii="Verdana" w:hAnsi="Verdana"/>
        </w:rPr>
        <w:tab/>
      </w:r>
      <w:r w:rsidR="00127AA2">
        <w:rPr>
          <w:rFonts w:ascii="Verdana" w:hAnsi="Verdana"/>
        </w:rPr>
        <w:t>(56 2) 2233 46</w:t>
      </w:r>
      <w:r w:rsidR="00127AA2" w:rsidRPr="00127AA2">
        <w:rPr>
          <w:rFonts w:ascii="Verdana" w:hAnsi="Verdana"/>
        </w:rPr>
        <w:t>93</w:t>
      </w:r>
    </w:p>
    <w:p w14:paraId="656C5FB1" w14:textId="77777777" w:rsidR="00491B20" w:rsidRDefault="00127AA2" w:rsidP="00491B20">
      <w:pPr>
        <w:ind w:firstLine="705"/>
        <w:jc w:val="both"/>
        <w:rPr>
          <w:rFonts w:ascii="Verdana" w:hAnsi="Verdana"/>
        </w:rPr>
      </w:pPr>
      <w:r>
        <w:rPr>
          <w:rFonts w:ascii="Verdana" w:hAnsi="Verdana"/>
        </w:rPr>
        <w:t>Mail</w:t>
      </w:r>
      <w:r>
        <w:rPr>
          <w:rFonts w:ascii="Verdana" w:hAnsi="Verdana"/>
        </w:rPr>
        <w:tab/>
      </w:r>
      <w:r>
        <w:rPr>
          <w:rFonts w:ascii="Verdana" w:hAnsi="Verdana"/>
        </w:rPr>
        <w:tab/>
        <w:t>:</w:t>
      </w:r>
      <w:r>
        <w:rPr>
          <w:rFonts w:ascii="Verdana" w:hAnsi="Verdana"/>
        </w:rPr>
        <w:tab/>
      </w:r>
      <w:hyperlink r:id="rId10" w:history="1">
        <w:r w:rsidRPr="00316339">
          <w:rPr>
            <w:rStyle w:val="Hipervnculo"/>
            <w:rFonts w:ascii="Verdana" w:hAnsi="Verdana"/>
          </w:rPr>
          <w:t>beatriz.riveros@dgar.cl</w:t>
        </w:r>
      </w:hyperlink>
    </w:p>
    <w:p w14:paraId="099FF952" w14:textId="77777777" w:rsidR="00922423" w:rsidRDefault="00922423" w:rsidP="00491B20">
      <w:pPr>
        <w:ind w:firstLine="705"/>
        <w:jc w:val="both"/>
        <w:rPr>
          <w:rFonts w:ascii="Verdana" w:hAnsi="Verdana"/>
          <w:b/>
        </w:rPr>
      </w:pPr>
      <w:r>
        <w:rPr>
          <w:rFonts w:ascii="Verdana" w:hAnsi="Verdana"/>
          <w:b/>
        </w:rPr>
        <w:t xml:space="preserve">Localización </w:t>
      </w:r>
    </w:p>
    <w:p w14:paraId="592C8778" w14:textId="77777777" w:rsidR="00922423" w:rsidRDefault="00922423" w:rsidP="00E07248">
      <w:pPr>
        <w:ind w:left="705"/>
        <w:jc w:val="both"/>
        <w:rPr>
          <w:rFonts w:ascii="Verdana" w:hAnsi="Verdana"/>
        </w:rPr>
      </w:pPr>
      <w:r>
        <w:rPr>
          <w:rFonts w:ascii="Verdana" w:hAnsi="Verdana"/>
        </w:rPr>
        <w:t>Las coordenadas UTM (WGS 1984 Huso 19) de la ubicación del Proyecto, son las siguientes:</w:t>
      </w:r>
    </w:p>
    <w:tbl>
      <w:tblPr>
        <w:tblStyle w:val="Tablaconcuadrcula"/>
        <w:tblW w:w="0" w:type="auto"/>
        <w:tblInd w:w="705" w:type="dxa"/>
        <w:tblLook w:val="04A0" w:firstRow="1" w:lastRow="0" w:firstColumn="1" w:lastColumn="0" w:noHBand="0" w:noVBand="1"/>
      </w:tblPr>
      <w:tblGrid>
        <w:gridCol w:w="3161"/>
        <w:gridCol w:w="3222"/>
        <w:gridCol w:w="3208"/>
      </w:tblGrid>
      <w:tr w:rsidR="00922423" w14:paraId="6DE509A3" w14:textId="77777777" w:rsidTr="00922423">
        <w:tc>
          <w:tcPr>
            <w:tcW w:w="3406" w:type="dxa"/>
          </w:tcPr>
          <w:p w14:paraId="1C55E7C7" w14:textId="77777777" w:rsidR="00922423" w:rsidRDefault="00922423" w:rsidP="00E07248">
            <w:pPr>
              <w:jc w:val="center"/>
              <w:rPr>
                <w:rFonts w:ascii="Verdana" w:hAnsi="Verdana"/>
              </w:rPr>
            </w:pPr>
            <w:r>
              <w:rPr>
                <w:rFonts w:ascii="Verdana" w:hAnsi="Verdana"/>
              </w:rPr>
              <w:t>Puntos</w:t>
            </w:r>
          </w:p>
        </w:tc>
        <w:tc>
          <w:tcPr>
            <w:tcW w:w="3407" w:type="dxa"/>
          </w:tcPr>
          <w:p w14:paraId="26A98753" w14:textId="77777777" w:rsidR="00922423" w:rsidRDefault="00922423" w:rsidP="00E07248">
            <w:pPr>
              <w:jc w:val="center"/>
              <w:rPr>
                <w:rFonts w:ascii="Verdana" w:hAnsi="Verdana"/>
              </w:rPr>
            </w:pPr>
            <w:r>
              <w:rPr>
                <w:rFonts w:ascii="Verdana" w:hAnsi="Verdana"/>
              </w:rPr>
              <w:t>N</w:t>
            </w:r>
          </w:p>
        </w:tc>
        <w:tc>
          <w:tcPr>
            <w:tcW w:w="3407" w:type="dxa"/>
          </w:tcPr>
          <w:p w14:paraId="50B9404F" w14:textId="77777777" w:rsidR="00922423" w:rsidRDefault="00922423" w:rsidP="00E07248">
            <w:pPr>
              <w:jc w:val="center"/>
              <w:rPr>
                <w:rFonts w:ascii="Verdana" w:hAnsi="Verdana"/>
              </w:rPr>
            </w:pPr>
            <w:r>
              <w:rPr>
                <w:rFonts w:ascii="Verdana" w:hAnsi="Verdana"/>
              </w:rPr>
              <w:t>E</w:t>
            </w:r>
          </w:p>
        </w:tc>
      </w:tr>
      <w:tr w:rsidR="00922423" w14:paraId="560473DD" w14:textId="77777777" w:rsidTr="00922423">
        <w:tc>
          <w:tcPr>
            <w:tcW w:w="3406" w:type="dxa"/>
          </w:tcPr>
          <w:p w14:paraId="06AFA47C" w14:textId="77777777" w:rsidR="00922423" w:rsidRDefault="00922423" w:rsidP="00E07248">
            <w:pPr>
              <w:jc w:val="center"/>
              <w:rPr>
                <w:rFonts w:ascii="Verdana" w:hAnsi="Verdana"/>
              </w:rPr>
            </w:pPr>
            <w:r>
              <w:rPr>
                <w:rFonts w:ascii="Verdana" w:hAnsi="Verdana"/>
              </w:rPr>
              <w:t>A</w:t>
            </w:r>
          </w:p>
        </w:tc>
        <w:tc>
          <w:tcPr>
            <w:tcW w:w="3407" w:type="dxa"/>
          </w:tcPr>
          <w:p w14:paraId="1B45DCAD" w14:textId="77777777" w:rsidR="00922423" w:rsidRDefault="00922423" w:rsidP="00E07248">
            <w:pPr>
              <w:jc w:val="center"/>
              <w:rPr>
                <w:rFonts w:ascii="Verdana" w:hAnsi="Verdana"/>
              </w:rPr>
            </w:pPr>
            <w:r>
              <w:rPr>
                <w:rFonts w:ascii="Verdana" w:hAnsi="Verdana"/>
              </w:rPr>
              <w:t>6265543,41</w:t>
            </w:r>
          </w:p>
        </w:tc>
        <w:tc>
          <w:tcPr>
            <w:tcW w:w="3407" w:type="dxa"/>
          </w:tcPr>
          <w:p w14:paraId="622F9217" w14:textId="77777777" w:rsidR="00922423" w:rsidRDefault="00922423" w:rsidP="00E07248">
            <w:pPr>
              <w:jc w:val="center"/>
              <w:rPr>
                <w:rFonts w:ascii="Verdana" w:hAnsi="Verdana"/>
              </w:rPr>
            </w:pPr>
            <w:r>
              <w:rPr>
                <w:rFonts w:ascii="Verdana" w:hAnsi="Verdana"/>
              </w:rPr>
              <w:t>339239,21</w:t>
            </w:r>
          </w:p>
        </w:tc>
      </w:tr>
      <w:tr w:rsidR="00922423" w14:paraId="6899F1A3" w14:textId="77777777" w:rsidTr="00922423">
        <w:tc>
          <w:tcPr>
            <w:tcW w:w="3406" w:type="dxa"/>
          </w:tcPr>
          <w:p w14:paraId="03DDDAA0" w14:textId="77777777" w:rsidR="00922423" w:rsidRDefault="00922423" w:rsidP="00E07248">
            <w:pPr>
              <w:jc w:val="center"/>
              <w:rPr>
                <w:rFonts w:ascii="Verdana" w:hAnsi="Verdana"/>
              </w:rPr>
            </w:pPr>
            <w:r>
              <w:rPr>
                <w:rFonts w:ascii="Verdana" w:hAnsi="Verdana"/>
              </w:rPr>
              <w:t>B</w:t>
            </w:r>
          </w:p>
        </w:tc>
        <w:tc>
          <w:tcPr>
            <w:tcW w:w="3407" w:type="dxa"/>
          </w:tcPr>
          <w:p w14:paraId="7118F0D5" w14:textId="77777777" w:rsidR="00922423" w:rsidRDefault="00922423" w:rsidP="00E07248">
            <w:pPr>
              <w:jc w:val="center"/>
              <w:rPr>
                <w:rFonts w:ascii="Verdana" w:hAnsi="Verdana"/>
              </w:rPr>
            </w:pPr>
            <w:r>
              <w:rPr>
                <w:rFonts w:ascii="Verdana" w:hAnsi="Verdana"/>
              </w:rPr>
              <w:t>6265544,06</w:t>
            </w:r>
          </w:p>
        </w:tc>
        <w:tc>
          <w:tcPr>
            <w:tcW w:w="3407" w:type="dxa"/>
          </w:tcPr>
          <w:p w14:paraId="64DC0ADF" w14:textId="77777777" w:rsidR="00922423" w:rsidRDefault="00922423" w:rsidP="00E07248">
            <w:pPr>
              <w:jc w:val="center"/>
              <w:rPr>
                <w:rFonts w:ascii="Verdana" w:hAnsi="Verdana"/>
              </w:rPr>
            </w:pPr>
            <w:r>
              <w:rPr>
                <w:rFonts w:ascii="Verdana" w:hAnsi="Verdana"/>
              </w:rPr>
              <w:t>339307,02</w:t>
            </w:r>
          </w:p>
        </w:tc>
      </w:tr>
      <w:tr w:rsidR="00922423" w14:paraId="649781AE" w14:textId="77777777" w:rsidTr="00922423">
        <w:tc>
          <w:tcPr>
            <w:tcW w:w="3406" w:type="dxa"/>
          </w:tcPr>
          <w:p w14:paraId="74D7F83E" w14:textId="77777777" w:rsidR="00922423" w:rsidRDefault="00922423" w:rsidP="00E07248">
            <w:pPr>
              <w:jc w:val="center"/>
              <w:rPr>
                <w:rFonts w:ascii="Verdana" w:hAnsi="Verdana"/>
              </w:rPr>
            </w:pPr>
            <w:r>
              <w:rPr>
                <w:rFonts w:ascii="Verdana" w:hAnsi="Verdana"/>
              </w:rPr>
              <w:t>C</w:t>
            </w:r>
          </w:p>
        </w:tc>
        <w:tc>
          <w:tcPr>
            <w:tcW w:w="3407" w:type="dxa"/>
          </w:tcPr>
          <w:p w14:paraId="1C5B504C" w14:textId="77777777" w:rsidR="00922423" w:rsidRDefault="00922423" w:rsidP="00E07248">
            <w:pPr>
              <w:jc w:val="center"/>
              <w:rPr>
                <w:rFonts w:ascii="Verdana" w:hAnsi="Verdana"/>
              </w:rPr>
            </w:pPr>
            <w:r>
              <w:rPr>
                <w:rFonts w:ascii="Verdana" w:hAnsi="Verdana"/>
              </w:rPr>
              <w:t>6265541,29</w:t>
            </w:r>
          </w:p>
        </w:tc>
        <w:tc>
          <w:tcPr>
            <w:tcW w:w="3407" w:type="dxa"/>
          </w:tcPr>
          <w:p w14:paraId="76242B21" w14:textId="77777777" w:rsidR="00922423" w:rsidRDefault="00922423" w:rsidP="00E07248">
            <w:pPr>
              <w:jc w:val="center"/>
              <w:rPr>
                <w:rFonts w:ascii="Verdana" w:hAnsi="Verdana"/>
              </w:rPr>
            </w:pPr>
            <w:r>
              <w:rPr>
                <w:rFonts w:ascii="Verdana" w:hAnsi="Verdana"/>
              </w:rPr>
              <w:t>339310,09</w:t>
            </w:r>
          </w:p>
        </w:tc>
      </w:tr>
      <w:tr w:rsidR="00922423" w14:paraId="360E6952" w14:textId="77777777" w:rsidTr="00922423">
        <w:tc>
          <w:tcPr>
            <w:tcW w:w="3406" w:type="dxa"/>
          </w:tcPr>
          <w:p w14:paraId="2356D13F" w14:textId="77777777" w:rsidR="00922423" w:rsidRDefault="00922423" w:rsidP="00E07248">
            <w:pPr>
              <w:jc w:val="center"/>
              <w:rPr>
                <w:rFonts w:ascii="Verdana" w:hAnsi="Verdana"/>
              </w:rPr>
            </w:pPr>
            <w:r>
              <w:rPr>
                <w:rFonts w:ascii="Verdana" w:hAnsi="Verdana"/>
              </w:rPr>
              <w:t>D</w:t>
            </w:r>
          </w:p>
        </w:tc>
        <w:tc>
          <w:tcPr>
            <w:tcW w:w="3407" w:type="dxa"/>
          </w:tcPr>
          <w:p w14:paraId="54A619FA" w14:textId="77777777" w:rsidR="00922423" w:rsidRDefault="00922423" w:rsidP="00E07248">
            <w:pPr>
              <w:jc w:val="center"/>
              <w:rPr>
                <w:rFonts w:ascii="Verdana" w:hAnsi="Verdana"/>
              </w:rPr>
            </w:pPr>
            <w:r>
              <w:rPr>
                <w:rFonts w:ascii="Verdana" w:hAnsi="Verdana"/>
              </w:rPr>
              <w:t>6265472,72</w:t>
            </w:r>
          </w:p>
        </w:tc>
        <w:tc>
          <w:tcPr>
            <w:tcW w:w="3407" w:type="dxa"/>
          </w:tcPr>
          <w:p w14:paraId="033F7F97" w14:textId="77777777" w:rsidR="00922423" w:rsidRDefault="00922423" w:rsidP="00E07248">
            <w:pPr>
              <w:jc w:val="center"/>
              <w:rPr>
                <w:rFonts w:ascii="Verdana" w:hAnsi="Verdana"/>
              </w:rPr>
            </w:pPr>
            <w:r>
              <w:rPr>
                <w:rFonts w:ascii="Verdana" w:hAnsi="Verdana"/>
              </w:rPr>
              <w:t>339310,13</w:t>
            </w:r>
          </w:p>
        </w:tc>
      </w:tr>
      <w:tr w:rsidR="00922423" w14:paraId="083A9887" w14:textId="77777777" w:rsidTr="00922423">
        <w:tc>
          <w:tcPr>
            <w:tcW w:w="3406" w:type="dxa"/>
          </w:tcPr>
          <w:p w14:paraId="61EB41BC" w14:textId="77777777" w:rsidR="00922423" w:rsidRDefault="00922423" w:rsidP="00E07248">
            <w:pPr>
              <w:jc w:val="center"/>
              <w:rPr>
                <w:rFonts w:ascii="Verdana" w:hAnsi="Verdana"/>
              </w:rPr>
            </w:pPr>
            <w:r>
              <w:rPr>
                <w:rFonts w:ascii="Verdana" w:hAnsi="Verdana"/>
              </w:rPr>
              <w:t>E</w:t>
            </w:r>
          </w:p>
        </w:tc>
        <w:tc>
          <w:tcPr>
            <w:tcW w:w="3407" w:type="dxa"/>
          </w:tcPr>
          <w:p w14:paraId="1945BD10" w14:textId="77777777" w:rsidR="00922423" w:rsidRDefault="00922423" w:rsidP="00E07248">
            <w:pPr>
              <w:jc w:val="center"/>
              <w:rPr>
                <w:rFonts w:ascii="Verdana" w:hAnsi="Verdana"/>
              </w:rPr>
            </w:pPr>
            <w:r>
              <w:rPr>
                <w:rFonts w:ascii="Verdana" w:hAnsi="Verdana"/>
              </w:rPr>
              <w:t>6265464,93</w:t>
            </w:r>
          </w:p>
        </w:tc>
        <w:tc>
          <w:tcPr>
            <w:tcW w:w="3407" w:type="dxa"/>
          </w:tcPr>
          <w:p w14:paraId="2372DAA4" w14:textId="77777777" w:rsidR="00922423" w:rsidRDefault="00922423" w:rsidP="00E07248">
            <w:pPr>
              <w:jc w:val="center"/>
              <w:rPr>
                <w:rFonts w:ascii="Verdana" w:hAnsi="Verdana"/>
              </w:rPr>
            </w:pPr>
            <w:r>
              <w:rPr>
                <w:rFonts w:ascii="Verdana" w:hAnsi="Verdana"/>
              </w:rPr>
              <w:t>339304,38</w:t>
            </w:r>
          </w:p>
        </w:tc>
      </w:tr>
      <w:tr w:rsidR="00922423" w14:paraId="37671C1B" w14:textId="77777777" w:rsidTr="00922423">
        <w:tc>
          <w:tcPr>
            <w:tcW w:w="3406" w:type="dxa"/>
          </w:tcPr>
          <w:p w14:paraId="4AFA2971" w14:textId="77777777" w:rsidR="00922423" w:rsidRDefault="00922423" w:rsidP="00E07248">
            <w:pPr>
              <w:jc w:val="center"/>
              <w:rPr>
                <w:rFonts w:ascii="Verdana" w:hAnsi="Verdana"/>
              </w:rPr>
            </w:pPr>
            <w:r>
              <w:rPr>
                <w:rFonts w:ascii="Verdana" w:hAnsi="Verdana"/>
              </w:rPr>
              <w:t>F</w:t>
            </w:r>
          </w:p>
        </w:tc>
        <w:tc>
          <w:tcPr>
            <w:tcW w:w="3407" w:type="dxa"/>
          </w:tcPr>
          <w:p w14:paraId="7A14A8F1" w14:textId="77777777" w:rsidR="00922423" w:rsidRDefault="00922423" w:rsidP="00E07248">
            <w:pPr>
              <w:jc w:val="center"/>
              <w:rPr>
                <w:rFonts w:ascii="Verdana" w:hAnsi="Verdana"/>
              </w:rPr>
            </w:pPr>
            <w:r>
              <w:rPr>
                <w:rFonts w:ascii="Verdana" w:hAnsi="Verdana"/>
              </w:rPr>
              <w:t>6265463,97</w:t>
            </w:r>
          </w:p>
        </w:tc>
        <w:tc>
          <w:tcPr>
            <w:tcW w:w="3407" w:type="dxa"/>
          </w:tcPr>
          <w:p w14:paraId="05A21E0A" w14:textId="77777777" w:rsidR="00922423" w:rsidRDefault="00922423" w:rsidP="00E07248">
            <w:pPr>
              <w:jc w:val="center"/>
              <w:rPr>
                <w:rFonts w:ascii="Verdana" w:hAnsi="Verdana"/>
              </w:rPr>
            </w:pPr>
            <w:r>
              <w:rPr>
                <w:rFonts w:ascii="Verdana" w:hAnsi="Verdana"/>
              </w:rPr>
              <w:t>339238,18</w:t>
            </w:r>
          </w:p>
        </w:tc>
      </w:tr>
    </w:tbl>
    <w:p w14:paraId="09AE13AD" w14:textId="77777777" w:rsidR="00922423" w:rsidRPr="00922423" w:rsidRDefault="00922423" w:rsidP="00E07248">
      <w:pPr>
        <w:ind w:left="705"/>
        <w:jc w:val="both"/>
        <w:rPr>
          <w:rFonts w:ascii="Verdana" w:hAnsi="Verdana"/>
        </w:rPr>
      </w:pPr>
    </w:p>
    <w:p w14:paraId="76357B7B" w14:textId="547DC165" w:rsidR="00FC22CA" w:rsidRDefault="00FC22CA">
      <w:pPr>
        <w:spacing w:after="160" w:line="259" w:lineRule="auto"/>
        <w:rPr>
          <w:rFonts w:ascii="Verdana" w:hAnsi="Verdana"/>
        </w:rPr>
      </w:pPr>
      <w:r>
        <w:rPr>
          <w:rFonts w:ascii="Verdana" w:hAnsi="Verdana"/>
        </w:rPr>
        <w:br w:type="page"/>
      </w:r>
    </w:p>
    <w:p w14:paraId="7771236B" w14:textId="77777777" w:rsidR="00127AA2" w:rsidRDefault="00127AA2" w:rsidP="00491B20">
      <w:pPr>
        <w:ind w:firstLine="705"/>
        <w:jc w:val="both"/>
        <w:rPr>
          <w:rFonts w:ascii="Verdana" w:hAnsi="Verdana"/>
        </w:rPr>
      </w:pPr>
    </w:p>
    <w:p w14:paraId="7CCF2141" w14:textId="77777777" w:rsidR="00C11000" w:rsidRDefault="00C11000" w:rsidP="006F1260">
      <w:pPr>
        <w:rPr>
          <w:rFonts w:ascii="Verdana" w:hAnsi="Verdana"/>
          <w:b/>
        </w:rPr>
      </w:pPr>
    </w:p>
    <w:p w14:paraId="313BB951" w14:textId="4A68B702" w:rsidR="001F4CAA" w:rsidRDefault="00FC22CA" w:rsidP="006F1260">
      <w:pPr>
        <w:rPr>
          <w:rFonts w:ascii="Verdana" w:hAnsi="Verdana"/>
          <w:u w:val="single"/>
        </w:rPr>
      </w:pPr>
      <w:r>
        <w:rPr>
          <w:rFonts w:ascii="Verdana" w:hAnsi="Verdana"/>
          <w:b/>
        </w:rPr>
        <w:t>I</w:t>
      </w:r>
      <w:r w:rsidR="00C11000" w:rsidRPr="006F1260">
        <w:rPr>
          <w:rFonts w:ascii="Verdana" w:hAnsi="Verdana"/>
          <w:b/>
        </w:rPr>
        <w:t>I</w:t>
      </w:r>
      <w:r w:rsidR="001F4CAA" w:rsidRPr="006F1260">
        <w:rPr>
          <w:rFonts w:ascii="Verdana" w:hAnsi="Verdana"/>
          <w:b/>
        </w:rPr>
        <w:t xml:space="preserve">. </w:t>
      </w:r>
      <w:r w:rsidR="001F4CAA" w:rsidRPr="006F1260">
        <w:rPr>
          <w:rFonts w:ascii="Verdana" w:hAnsi="Verdana"/>
          <w:b/>
        </w:rPr>
        <w:tab/>
      </w:r>
      <w:r w:rsidR="001F4CAA">
        <w:rPr>
          <w:rFonts w:ascii="Verdana" w:hAnsi="Verdana"/>
          <w:b/>
          <w:u w:val="single"/>
        </w:rPr>
        <w:t>EN RELACIÓN A LOS CAUDALES DE OPERACIÓN.</w:t>
      </w:r>
    </w:p>
    <w:p w14:paraId="5B413842" w14:textId="77777777" w:rsidR="005C7B90" w:rsidRDefault="005C7B90" w:rsidP="006F1260">
      <w:pPr>
        <w:jc w:val="both"/>
        <w:rPr>
          <w:rFonts w:ascii="Verdana" w:hAnsi="Verdana"/>
        </w:rPr>
      </w:pPr>
      <w:r w:rsidRPr="006F1260">
        <w:rPr>
          <w:rFonts w:ascii="Verdana" w:hAnsi="Verdana"/>
          <w:b/>
        </w:rPr>
        <w:t>1.</w:t>
      </w:r>
      <w:r>
        <w:rPr>
          <w:rFonts w:ascii="Verdana" w:hAnsi="Verdana"/>
        </w:rPr>
        <w:tab/>
      </w:r>
      <w:r w:rsidRPr="006F1260">
        <w:rPr>
          <w:rFonts w:ascii="Verdana" w:hAnsi="Verdana"/>
          <w:u w:val="single"/>
        </w:rPr>
        <w:t>Caudales de operación aprobados.</w:t>
      </w:r>
    </w:p>
    <w:p w14:paraId="70182207" w14:textId="77777777" w:rsidR="009D2C3F" w:rsidRDefault="006F1260" w:rsidP="005C7B90">
      <w:pPr>
        <w:ind w:firstLine="708"/>
        <w:jc w:val="both"/>
        <w:rPr>
          <w:rFonts w:ascii="Verdana" w:hAnsi="Verdana"/>
        </w:rPr>
      </w:pPr>
      <w:r>
        <w:rPr>
          <w:rFonts w:ascii="Verdana" w:hAnsi="Verdana"/>
        </w:rPr>
        <w:t>La Planta de Tratamiento de Ril</w:t>
      </w:r>
      <w:r w:rsidR="00D92982">
        <w:rPr>
          <w:rFonts w:ascii="Verdana" w:hAnsi="Verdana"/>
        </w:rPr>
        <w:t>es de Aconcagua Foods</w:t>
      </w:r>
      <w:r>
        <w:rPr>
          <w:rFonts w:ascii="Verdana" w:hAnsi="Verdana"/>
        </w:rPr>
        <w:t xml:space="preserve"> (en adelante, la “PTR”)</w:t>
      </w:r>
      <w:r w:rsidR="00D92982">
        <w:rPr>
          <w:rFonts w:ascii="Verdana" w:hAnsi="Verdana"/>
        </w:rPr>
        <w:t xml:space="preserve"> </w:t>
      </w:r>
      <w:r w:rsidR="00D92982" w:rsidRPr="00D92982">
        <w:rPr>
          <w:rFonts w:ascii="Verdana" w:hAnsi="Verdana"/>
        </w:rPr>
        <w:t xml:space="preserve">ha sido calificada y evaluada ambientalmente favorable en </w:t>
      </w:r>
      <w:r w:rsidR="00F216E9">
        <w:rPr>
          <w:rFonts w:ascii="Verdana" w:hAnsi="Verdana"/>
        </w:rPr>
        <w:t>dos</w:t>
      </w:r>
      <w:r w:rsidR="00F216E9" w:rsidRPr="00D92982">
        <w:rPr>
          <w:rFonts w:ascii="Verdana" w:hAnsi="Verdana"/>
        </w:rPr>
        <w:t xml:space="preserve"> </w:t>
      </w:r>
      <w:r w:rsidR="00D92982" w:rsidRPr="00D92982">
        <w:rPr>
          <w:rFonts w:ascii="Verdana" w:hAnsi="Verdana"/>
        </w:rPr>
        <w:t>instancias por la autoridad ambiental competente</w:t>
      </w:r>
      <w:r w:rsidR="009D2C3F">
        <w:rPr>
          <w:rFonts w:ascii="Verdana" w:hAnsi="Verdana"/>
        </w:rPr>
        <w:t xml:space="preserve">. </w:t>
      </w:r>
    </w:p>
    <w:p w14:paraId="68DE4F84" w14:textId="77777777" w:rsidR="009D2C3F" w:rsidRDefault="005C7B90" w:rsidP="006F1260">
      <w:pPr>
        <w:jc w:val="both"/>
        <w:rPr>
          <w:rFonts w:ascii="Verdana" w:hAnsi="Verdana" w:cs="Tahoma"/>
        </w:rPr>
      </w:pPr>
      <w:r w:rsidRPr="006F1260">
        <w:rPr>
          <w:rFonts w:ascii="Verdana" w:hAnsi="Verdana" w:cs="Tahoma"/>
          <w:b/>
        </w:rPr>
        <w:t>a)</w:t>
      </w:r>
      <w:r w:rsidR="006F1260">
        <w:rPr>
          <w:rFonts w:ascii="Verdana" w:hAnsi="Verdana" w:cs="Tahoma"/>
          <w:b/>
        </w:rPr>
        <w:tab/>
      </w:r>
      <w:r w:rsidR="009D2C3F" w:rsidRPr="00FB47F2">
        <w:rPr>
          <w:rFonts w:ascii="Verdana" w:hAnsi="Verdana" w:cs="Tahoma"/>
        </w:rPr>
        <w:t xml:space="preserve">El primer proyecto fue aprobado por </w:t>
      </w:r>
      <w:r w:rsidR="009D2C3F">
        <w:rPr>
          <w:rFonts w:ascii="Verdana" w:hAnsi="Verdana" w:cs="Tahoma"/>
        </w:rPr>
        <w:t xml:space="preserve">la </w:t>
      </w:r>
      <w:r w:rsidR="009D2C3F" w:rsidRPr="00FB47F2">
        <w:rPr>
          <w:rFonts w:ascii="Verdana" w:hAnsi="Verdana" w:cs="Tahoma"/>
        </w:rPr>
        <w:t>R</w:t>
      </w:r>
      <w:r w:rsidR="009D2C3F">
        <w:rPr>
          <w:rFonts w:ascii="Verdana" w:hAnsi="Verdana" w:cs="Tahoma"/>
        </w:rPr>
        <w:t xml:space="preserve">esolución de </w:t>
      </w:r>
      <w:r w:rsidR="009D2C3F" w:rsidRPr="00FB47F2">
        <w:rPr>
          <w:rFonts w:ascii="Verdana" w:hAnsi="Verdana" w:cs="Tahoma"/>
        </w:rPr>
        <w:t>C</w:t>
      </w:r>
      <w:r w:rsidR="009D2C3F">
        <w:rPr>
          <w:rFonts w:ascii="Verdana" w:hAnsi="Verdana" w:cs="Tahoma"/>
        </w:rPr>
        <w:t xml:space="preserve">alificación </w:t>
      </w:r>
      <w:r w:rsidR="009D2C3F" w:rsidRPr="00FB47F2">
        <w:rPr>
          <w:rFonts w:ascii="Verdana" w:hAnsi="Verdana" w:cs="Tahoma"/>
        </w:rPr>
        <w:t>A</w:t>
      </w:r>
      <w:r w:rsidR="009D2C3F">
        <w:rPr>
          <w:rFonts w:ascii="Verdana" w:hAnsi="Verdana" w:cs="Tahoma"/>
        </w:rPr>
        <w:t>mbiental</w:t>
      </w:r>
      <w:r w:rsidR="00397B6D">
        <w:rPr>
          <w:rFonts w:ascii="Verdana" w:hAnsi="Verdana" w:cs="Tahoma"/>
        </w:rPr>
        <w:t xml:space="preserve"> </w:t>
      </w:r>
      <w:r w:rsidR="009D2C3F" w:rsidRPr="00FB47F2">
        <w:rPr>
          <w:rFonts w:ascii="Verdana" w:hAnsi="Verdana" w:cs="Tahoma"/>
        </w:rPr>
        <w:t xml:space="preserve">N°385  de 7 de junio de 2007 </w:t>
      </w:r>
      <w:r w:rsidR="006F1260">
        <w:rPr>
          <w:rFonts w:ascii="Verdana" w:hAnsi="Verdana" w:cs="Tahoma"/>
        </w:rPr>
        <w:t>(en adelante, la “RCA N°385/2007”)</w:t>
      </w:r>
      <w:r w:rsidR="000721A3">
        <w:rPr>
          <w:rFonts w:ascii="Verdana" w:hAnsi="Verdana" w:cs="Tahoma"/>
        </w:rPr>
        <w:t xml:space="preserve"> </w:t>
      </w:r>
      <w:r w:rsidR="009D2C3F" w:rsidRPr="00FB47F2">
        <w:rPr>
          <w:rFonts w:ascii="Verdana" w:hAnsi="Verdana" w:cs="Tahoma"/>
        </w:rPr>
        <w:t>de la, en ese entonces, Comisión Regional del Medio Ambiente de la Región Metropolitana de Santiago</w:t>
      </w:r>
      <w:r w:rsidR="009D2C3F">
        <w:rPr>
          <w:rFonts w:ascii="Verdana" w:hAnsi="Verdana" w:cs="Tahoma"/>
        </w:rPr>
        <w:t xml:space="preserve">. </w:t>
      </w:r>
    </w:p>
    <w:p w14:paraId="339D673A" w14:textId="77777777" w:rsidR="00AE38FB" w:rsidRDefault="00C968F5" w:rsidP="00827EBF">
      <w:pPr>
        <w:ind w:firstLine="708"/>
        <w:jc w:val="both"/>
        <w:rPr>
          <w:rFonts w:ascii="Verdana" w:hAnsi="Verdana"/>
        </w:rPr>
      </w:pPr>
      <w:r w:rsidRPr="00FB47F2">
        <w:rPr>
          <w:rFonts w:ascii="Verdana" w:hAnsi="Verdana" w:cs="Tahoma"/>
        </w:rPr>
        <w:t>Este primer sistema de tratamiento de Riles consistía en una depuración íntegra de los efluentes de la agroindustria conservera en etapas sucesivas con tecnologías mecánicas y biotecnologías que consideraban la reutilización de algunos de sus elementos (lodo biológico) y la transformación en energía de otros (biogás), de modo de llevar al cuerpo receptor (Canal Paine) u</w:t>
      </w:r>
      <w:r>
        <w:rPr>
          <w:rFonts w:ascii="Verdana" w:hAnsi="Verdana" w:cs="Tahoma"/>
        </w:rPr>
        <w:t>n efluente debidamente tratado</w:t>
      </w:r>
      <w:r w:rsidRPr="00FB47F2">
        <w:rPr>
          <w:rFonts w:ascii="Verdana" w:hAnsi="Verdana" w:cs="Tahoma"/>
        </w:rPr>
        <w:t xml:space="preserve">. </w:t>
      </w:r>
      <w:r w:rsidR="00AE38FB">
        <w:rPr>
          <w:rFonts w:ascii="Verdana" w:hAnsi="Verdana"/>
        </w:rPr>
        <w:t xml:space="preserve">  </w:t>
      </w:r>
    </w:p>
    <w:p w14:paraId="388DE19B" w14:textId="77777777" w:rsidR="00F216E9" w:rsidRDefault="00F216E9" w:rsidP="00827EBF">
      <w:pPr>
        <w:ind w:firstLine="708"/>
        <w:jc w:val="both"/>
        <w:rPr>
          <w:rFonts w:ascii="Verdana" w:hAnsi="Verdana"/>
        </w:rPr>
      </w:pPr>
      <w:r>
        <w:rPr>
          <w:rFonts w:ascii="Verdana" w:hAnsi="Verdana"/>
        </w:rPr>
        <w:t>Los parámetros de diseño aprobados en esa oportunidad son los siguientes:</w:t>
      </w:r>
    </w:p>
    <w:tbl>
      <w:tblPr>
        <w:tblStyle w:val="Tablaconcuadrcula"/>
        <w:tblW w:w="0" w:type="auto"/>
        <w:tblInd w:w="347" w:type="dxa"/>
        <w:tblLook w:val="04A0" w:firstRow="1" w:lastRow="0" w:firstColumn="1" w:lastColumn="0" w:noHBand="0" w:noVBand="1"/>
      </w:tblPr>
      <w:tblGrid>
        <w:gridCol w:w="1179"/>
        <w:gridCol w:w="992"/>
        <w:gridCol w:w="1134"/>
        <w:gridCol w:w="854"/>
        <w:gridCol w:w="1134"/>
        <w:gridCol w:w="992"/>
        <w:gridCol w:w="1276"/>
        <w:gridCol w:w="1559"/>
      </w:tblGrid>
      <w:tr w:rsidR="00F216E9" w:rsidRPr="005F1241" w14:paraId="03D39AD1" w14:textId="77777777" w:rsidTr="006F1260">
        <w:tc>
          <w:tcPr>
            <w:tcW w:w="1179" w:type="dxa"/>
          </w:tcPr>
          <w:p w14:paraId="3614C05D" w14:textId="77777777" w:rsidR="00F216E9" w:rsidRPr="005F1241" w:rsidRDefault="00F216E9" w:rsidP="007B3BD9">
            <w:pPr>
              <w:jc w:val="center"/>
              <w:rPr>
                <w:rFonts w:ascii="Verdana" w:hAnsi="Verdana" w:cs="Tahoma"/>
                <w:sz w:val="18"/>
                <w:szCs w:val="18"/>
              </w:rPr>
            </w:pPr>
          </w:p>
        </w:tc>
        <w:tc>
          <w:tcPr>
            <w:tcW w:w="992" w:type="dxa"/>
          </w:tcPr>
          <w:p w14:paraId="55248D72" w14:textId="77777777" w:rsidR="00F216E9" w:rsidRPr="005F1241" w:rsidRDefault="00F216E9" w:rsidP="007B3BD9">
            <w:pPr>
              <w:jc w:val="center"/>
              <w:rPr>
                <w:rFonts w:ascii="Verdana" w:hAnsi="Verdana" w:cs="Tahoma"/>
                <w:sz w:val="18"/>
                <w:szCs w:val="18"/>
              </w:rPr>
            </w:pPr>
            <w:r>
              <w:rPr>
                <w:rFonts w:ascii="Verdana" w:hAnsi="Verdana" w:cs="Tahoma"/>
                <w:sz w:val="18"/>
                <w:szCs w:val="18"/>
              </w:rPr>
              <w:t>Caudal (m3/d)</w:t>
            </w:r>
          </w:p>
        </w:tc>
        <w:tc>
          <w:tcPr>
            <w:tcW w:w="1134" w:type="dxa"/>
          </w:tcPr>
          <w:p w14:paraId="76532A33" w14:textId="77777777" w:rsidR="00F216E9" w:rsidRPr="005F1241" w:rsidRDefault="00F216E9" w:rsidP="007B3BD9">
            <w:pPr>
              <w:jc w:val="center"/>
              <w:rPr>
                <w:rFonts w:ascii="Verdana" w:hAnsi="Verdana" w:cs="Tahoma"/>
                <w:sz w:val="18"/>
                <w:szCs w:val="18"/>
              </w:rPr>
            </w:pPr>
            <w:r>
              <w:rPr>
                <w:rFonts w:ascii="Verdana" w:hAnsi="Verdana" w:cs="Tahoma"/>
                <w:sz w:val="18"/>
                <w:szCs w:val="18"/>
              </w:rPr>
              <w:t>DBO (mg/L)</w:t>
            </w:r>
          </w:p>
        </w:tc>
        <w:tc>
          <w:tcPr>
            <w:tcW w:w="851" w:type="dxa"/>
          </w:tcPr>
          <w:p w14:paraId="6F86D3EC" w14:textId="77777777" w:rsidR="00F216E9" w:rsidRPr="005F1241" w:rsidRDefault="00F216E9" w:rsidP="007B3BD9">
            <w:pPr>
              <w:jc w:val="center"/>
              <w:rPr>
                <w:rFonts w:ascii="Verdana" w:hAnsi="Verdana" w:cs="Tahoma"/>
                <w:sz w:val="18"/>
                <w:szCs w:val="18"/>
              </w:rPr>
            </w:pPr>
            <w:r>
              <w:rPr>
                <w:rFonts w:ascii="Verdana" w:hAnsi="Verdana" w:cs="Tahoma"/>
                <w:sz w:val="18"/>
                <w:szCs w:val="18"/>
              </w:rPr>
              <w:t>Kg DBO/d</w:t>
            </w:r>
          </w:p>
        </w:tc>
        <w:tc>
          <w:tcPr>
            <w:tcW w:w="1134" w:type="dxa"/>
          </w:tcPr>
          <w:p w14:paraId="227CE612" w14:textId="77777777" w:rsidR="00F216E9" w:rsidRPr="005F1241" w:rsidRDefault="00F216E9" w:rsidP="007B3BD9">
            <w:pPr>
              <w:jc w:val="center"/>
              <w:rPr>
                <w:rFonts w:ascii="Verdana" w:hAnsi="Verdana" w:cs="Tahoma"/>
                <w:sz w:val="18"/>
                <w:szCs w:val="18"/>
              </w:rPr>
            </w:pPr>
            <w:r>
              <w:rPr>
                <w:rFonts w:ascii="Verdana" w:hAnsi="Verdana" w:cs="Tahoma"/>
                <w:sz w:val="18"/>
                <w:szCs w:val="18"/>
              </w:rPr>
              <w:t>DQO (mg/L)</w:t>
            </w:r>
          </w:p>
        </w:tc>
        <w:tc>
          <w:tcPr>
            <w:tcW w:w="992" w:type="dxa"/>
          </w:tcPr>
          <w:p w14:paraId="2C92F238" w14:textId="77777777" w:rsidR="00F216E9" w:rsidRPr="005F1241" w:rsidRDefault="00F216E9" w:rsidP="007B3BD9">
            <w:pPr>
              <w:jc w:val="center"/>
              <w:rPr>
                <w:rFonts w:ascii="Verdana" w:hAnsi="Verdana" w:cs="Tahoma"/>
                <w:sz w:val="18"/>
                <w:szCs w:val="18"/>
              </w:rPr>
            </w:pPr>
            <w:r>
              <w:rPr>
                <w:rFonts w:ascii="Verdana" w:hAnsi="Verdana" w:cs="Tahoma"/>
                <w:sz w:val="18"/>
                <w:szCs w:val="18"/>
              </w:rPr>
              <w:t>Kg DQO/d</w:t>
            </w:r>
          </w:p>
        </w:tc>
        <w:tc>
          <w:tcPr>
            <w:tcW w:w="1276" w:type="dxa"/>
          </w:tcPr>
          <w:p w14:paraId="1C63123B" w14:textId="77777777" w:rsidR="00F216E9" w:rsidRPr="005F1241" w:rsidRDefault="00F216E9" w:rsidP="007B3BD9">
            <w:pPr>
              <w:jc w:val="center"/>
              <w:rPr>
                <w:rFonts w:ascii="Verdana" w:hAnsi="Verdana" w:cs="Tahoma"/>
                <w:sz w:val="18"/>
                <w:szCs w:val="18"/>
              </w:rPr>
            </w:pPr>
            <w:r>
              <w:rPr>
                <w:rFonts w:ascii="Verdana" w:hAnsi="Verdana" w:cs="Tahoma"/>
                <w:sz w:val="18"/>
                <w:szCs w:val="18"/>
              </w:rPr>
              <w:t>SST (mg/L)</w:t>
            </w:r>
          </w:p>
        </w:tc>
        <w:tc>
          <w:tcPr>
            <w:tcW w:w="1559" w:type="dxa"/>
          </w:tcPr>
          <w:p w14:paraId="1FBF2AA4" w14:textId="77777777" w:rsidR="00F216E9" w:rsidRPr="005F1241" w:rsidRDefault="00F216E9" w:rsidP="00F216E9">
            <w:pPr>
              <w:jc w:val="center"/>
              <w:rPr>
                <w:rFonts w:ascii="Verdana" w:hAnsi="Verdana" w:cs="Tahoma"/>
                <w:sz w:val="18"/>
                <w:szCs w:val="18"/>
              </w:rPr>
            </w:pPr>
            <w:r>
              <w:rPr>
                <w:rFonts w:ascii="Verdana" w:hAnsi="Verdana" w:cs="Tahoma"/>
                <w:sz w:val="18"/>
                <w:szCs w:val="18"/>
              </w:rPr>
              <w:t>Kg SST/d</w:t>
            </w:r>
          </w:p>
        </w:tc>
      </w:tr>
      <w:tr w:rsidR="00F216E9" w:rsidRPr="005F1241" w14:paraId="15F19748" w14:textId="77777777" w:rsidTr="006F1260">
        <w:tc>
          <w:tcPr>
            <w:tcW w:w="1179" w:type="dxa"/>
          </w:tcPr>
          <w:p w14:paraId="67E6F11B" w14:textId="77777777" w:rsidR="00F216E9" w:rsidRPr="005F1241" w:rsidRDefault="00F216E9" w:rsidP="007B3BD9">
            <w:pPr>
              <w:jc w:val="center"/>
              <w:rPr>
                <w:rFonts w:ascii="Verdana" w:hAnsi="Verdana" w:cs="Tahoma"/>
                <w:sz w:val="18"/>
                <w:szCs w:val="18"/>
              </w:rPr>
            </w:pPr>
            <w:r>
              <w:rPr>
                <w:rFonts w:ascii="Verdana" w:hAnsi="Verdana" w:cs="Tahoma"/>
                <w:sz w:val="18"/>
                <w:szCs w:val="18"/>
              </w:rPr>
              <w:t>Corriente 1</w:t>
            </w:r>
          </w:p>
        </w:tc>
        <w:tc>
          <w:tcPr>
            <w:tcW w:w="992" w:type="dxa"/>
          </w:tcPr>
          <w:p w14:paraId="21BC86F5" w14:textId="77777777" w:rsidR="00F216E9" w:rsidRPr="005F1241" w:rsidRDefault="00F216E9" w:rsidP="007B3BD9">
            <w:pPr>
              <w:jc w:val="center"/>
              <w:rPr>
                <w:rFonts w:ascii="Verdana" w:hAnsi="Verdana" w:cs="Tahoma"/>
                <w:sz w:val="18"/>
                <w:szCs w:val="18"/>
              </w:rPr>
            </w:pPr>
            <w:r>
              <w:rPr>
                <w:rFonts w:ascii="Verdana" w:hAnsi="Verdana" w:cs="Tahoma"/>
                <w:sz w:val="18"/>
                <w:szCs w:val="18"/>
              </w:rPr>
              <w:t>5,064</w:t>
            </w:r>
          </w:p>
        </w:tc>
        <w:tc>
          <w:tcPr>
            <w:tcW w:w="1134" w:type="dxa"/>
          </w:tcPr>
          <w:p w14:paraId="589218EE" w14:textId="77777777" w:rsidR="00F216E9" w:rsidRPr="005F1241" w:rsidRDefault="00F216E9" w:rsidP="007B3BD9">
            <w:pPr>
              <w:jc w:val="center"/>
              <w:rPr>
                <w:rFonts w:ascii="Verdana" w:hAnsi="Verdana" w:cs="Tahoma"/>
                <w:sz w:val="18"/>
                <w:szCs w:val="18"/>
              </w:rPr>
            </w:pPr>
            <w:r>
              <w:rPr>
                <w:rFonts w:ascii="Verdana" w:hAnsi="Verdana" w:cs="Tahoma"/>
                <w:sz w:val="18"/>
                <w:szCs w:val="18"/>
              </w:rPr>
              <w:t>3,801</w:t>
            </w:r>
          </w:p>
        </w:tc>
        <w:tc>
          <w:tcPr>
            <w:tcW w:w="851" w:type="dxa"/>
          </w:tcPr>
          <w:p w14:paraId="77D33794" w14:textId="77777777" w:rsidR="00F216E9" w:rsidRPr="005F1241" w:rsidRDefault="00F216E9" w:rsidP="007B3BD9">
            <w:pPr>
              <w:jc w:val="center"/>
              <w:rPr>
                <w:rFonts w:ascii="Verdana" w:hAnsi="Verdana" w:cs="Tahoma"/>
                <w:sz w:val="18"/>
                <w:szCs w:val="18"/>
              </w:rPr>
            </w:pPr>
            <w:r>
              <w:rPr>
                <w:rFonts w:ascii="Verdana" w:hAnsi="Verdana" w:cs="Tahoma"/>
                <w:sz w:val="18"/>
                <w:szCs w:val="18"/>
              </w:rPr>
              <w:t>19,250</w:t>
            </w:r>
          </w:p>
        </w:tc>
        <w:tc>
          <w:tcPr>
            <w:tcW w:w="1134" w:type="dxa"/>
          </w:tcPr>
          <w:p w14:paraId="7D080FCA" w14:textId="77777777" w:rsidR="00F216E9" w:rsidRPr="005F1241" w:rsidRDefault="00F216E9" w:rsidP="007B3BD9">
            <w:pPr>
              <w:jc w:val="center"/>
              <w:rPr>
                <w:rFonts w:ascii="Verdana" w:hAnsi="Verdana" w:cs="Tahoma"/>
                <w:sz w:val="18"/>
                <w:szCs w:val="18"/>
              </w:rPr>
            </w:pPr>
            <w:r>
              <w:rPr>
                <w:rFonts w:ascii="Verdana" w:hAnsi="Verdana" w:cs="Tahoma"/>
                <w:sz w:val="18"/>
                <w:szCs w:val="18"/>
              </w:rPr>
              <w:t>6,272</w:t>
            </w:r>
          </w:p>
        </w:tc>
        <w:tc>
          <w:tcPr>
            <w:tcW w:w="992" w:type="dxa"/>
          </w:tcPr>
          <w:p w14:paraId="3952AF4B" w14:textId="77777777" w:rsidR="00F216E9" w:rsidRPr="005F1241" w:rsidRDefault="00F216E9" w:rsidP="007B3BD9">
            <w:pPr>
              <w:jc w:val="center"/>
              <w:rPr>
                <w:rFonts w:ascii="Verdana" w:hAnsi="Verdana" w:cs="Tahoma"/>
                <w:sz w:val="18"/>
                <w:szCs w:val="18"/>
              </w:rPr>
            </w:pPr>
            <w:r>
              <w:rPr>
                <w:rFonts w:ascii="Verdana" w:hAnsi="Verdana" w:cs="Tahoma"/>
                <w:sz w:val="18"/>
                <w:szCs w:val="18"/>
              </w:rPr>
              <w:t>31,763</w:t>
            </w:r>
          </w:p>
        </w:tc>
        <w:tc>
          <w:tcPr>
            <w:tcW w:w="1276" w:type="dxa"/>
          </w:tcPr>
          <w:p w14:paraId="341BB447" w14:textId="77777777" w:rsidR="00F216E9" w:rsidRPr="005F1241" w:rsidRDefault="00F216E9" w:rsidP="007B3BD9">
            <w:pPr>
              <w:jc w:val="center"/>
              <w:rPr>
                <w:rFonts w:ascii="Verdana" w:hAnsi="Verdana" w:cs="Tahoma"/>
                <w:sz w:val="18"/>
                <w:szCs w:val="18"/>
              </w:rPr>
            </w:pPr>
            <w:r>
              <w:rPr>
                <w:rFonts w:ascii="Verdana" w:hAnsi="Verdana" w:cs="Tahoma"/>
                <w:sz w:val="18"/>
                <w:szCs w:val="18"/>
              </w:rPr>
              <w:t>1,086</w:t>
            </w:r>
          </w:p>
        </w:tc>
        <w:tc>
          <w:tcPr>
            <w:tcW w:w="1559" w:type="dxa"/>
          </w:tcPr>
          <w:p w14:paraId="25DFCE14" w14:textId="77777777" w:rsidR="00F216E9" w:rsidRPr="005F1241" w:rsidRDefault="00F216E9" w:rsidP="007B3BD9">
            <w:pPr>
              <w:jc w:val="center"/>
              <w:rPr>
                <w:rFonts w:ascii="Verdana" w:hAnsi="Verdana" w:cs="Tahoma"/>
                <w:sz w:val="18"/>
                <w:szCs w:val="18"/>
              </w:rPr>
            </w:pPr>
            <w:r>
              <w:rPr>
                <w:rFonts w:ascii="Verdana" w:hAnsi="Verdana" w:cs="Tahoma"/>
                <w:sz w:val="18"/>
                <w:szCs w:val="18"/>
              </w:rPr>
              <w:t>5,500</w:t>
            </w:r>
          </w:p>
        </w:tc>
      </w:tr>
      <w:tr w:rsidR="00F216E9" w:rsidRPr="005F1241" w14:paraId="328E9DD6" w14:textId="77777777" w:rsidTr="00F216E9">
        <w:tc>
          <w:tcPr>
            <w:tcW w:w="1179" w:type="dxa"/>
          </w:tcPr>
          <w:p w14:paraId="7045599A" w14:textId="77777777" w:rsidR="00F216E9" w:rsidRDefault="00F216E9" w:rsidP="007B3BD9">
            <w:pPr>
              <w:jc w:val="center"/>
              <w:rPr>
                <w:rFonts w:ascii="Verdana" w:hAnsi="Verdana" w:cs="Tahoma"/>
                <w:sz w:val="18"/>
                <w:szCs w:val="18"/>
              </w:rPr>
            </w:pPr>
            <w:r>
              <w:rPr>
                <w:rFonts w:ascii="Verdana" w:hAnsi="Verdana" w:cs="Tahoma"/>
                <w:sz w:val="18"/>
                <w:szCs w:val="18"/>
              </w:rPr>
              <w:t>Corriente 2</w:t>
            </w:r>
          </w:p>
        </w:tc>
        <w:tc>
          <w:tcPr>
            <w:tcW w:w="992" w:type="dxa"/>
          </w:tcPr>
          <w:p w14:paraId="2F8B6ED8" w14:textId="77777777" w:rsidR="00F216E9" w:rsidRDefault="00F216E9" w:rsidP="007B3BD9">
            <w:pPr>
              <w:jc w:val="center"/>
              <w:rPr>
                <w:rFonts w:ascii="Verdana" w:hAnsi="Verdana" w:cs="Tahoma"/>
                <w:sz w:val="18"/>
                <w:szCs w:val="18"/>
              </w:rPr>
            </w:pPr>
            <w:r>
              <w:rPr>
                <w:rFonts w:ascii="Verdana" w:hAnsi="Verdana" w:cs="Tahoma"/>
                <w:sz w:val="18"/>
                <w:szCs w:val="18"/>
              </w:rPr>
              <w:t>6,768</w:t>
            </w:r>
          </w:p>
        </w:tc>
        <w:tc>
          <w:tcPr>
            <w:tcW w:w="1134" w:type="dxa"/>
          </w:tcPr>
          <w:p w14:paraId="13281EBA" w14:textId="77777777" w:rsidR="00F216E9" w:rsidRDefault="00F216E9" w:rsidP="007B3BD9">
            <w:pPr>
              <w:jc w:val="center"/>
              <w:rPr>
                <w:rFonts w:ascii="Verdana" w:hAnsi="Verdana" w:cs="Tahoma"/>
                <w:sz w:val="18"/>
                <w:szCs w:val="18"/>
              </w:rPr>
            </w:pPr>
            <w:r>
              <w:rPr>
                <w:rFonts w:ascii="Verdana" w:hAnsi="Verdana" w:cs="Tahoma"/>
                <w:sz w:val="18"/>
                <w:szCs w:val="18"/>
              </w:rPr>
              <w:t>875</w:t>
            </w:r>
          </w:p>
        </w:tc>
        <w:tc>
          <w:tcPr>
            <w:tcW w:w="851" w:type="dxa"/>
          </w:tcPr>
          <w:p w14:paraId="052F7946" w14:textId="77777777" w:rsidR="00F216E9" w:rsidRDefault="00F216E9" w:rsidP="007B3BD9">
            <w:pPr>
              <w:jc w:val="center"/>
              <w:rPr>
                <w:rFonts w:ascii="Verdana" w:hAnsi="Verdana" w:cs="Tahoma"/>
                <w:sz w:val="18"/>
                <w:szCs w:val="18"/>
              </w:rPr>
            </w:pPr>
            <w:r>
              <w:rPr>
                <w:rFonts w:ascii="Verdana" w:hAnsi="Verdana" w:cs="Tahoma"/>
                <w:sz w:val="18"/>
                <w:szCs w:val="18"/>
              </w:rPr>
              <w:t>5,920</w:t>
            </w:r>
          </w:p>
        </w:tc>
        <w:tc>
          <w:tcPr>
            <w:tcW w:w="1134" w:type="dxa"/>
          </w:tcPr>
          <w:p w14:paraId="094C32A6" w14:textId="77777777" w:rsidR="00F216E9" w:rsidRDefault="00F216E9" w:rsidP="007B3BD9">
            <w:pPr>
              <w:jc w:val="center"/>
              <w:rPr>
                <w:rFonts w:ascii="Verdana" w:hAnsi="Verdana" w:cs="Tahoma"/>
                <w:sz w:val="18"/>
                <w:szCs w:val="18"/>
              </w:rPr>
            </w:pPr>
            <w:r>
              <w:rPr>
                <w:rFonts w:ascii="Verdana" w:hAnsi="Verdana" w:cs="Tahoma"/>
                <w:sz w:val="18"/>
                <w:szCs w:val="18"/>
              </w:rPr>
              <w:t>1,500</w:t>
            </w:r>
          </w:p>
        </w:tc>
        <w:tc>
          <w:tcPr>
            <w:tcW w:w="992" w:type="dxa"/>
          </w:tcPr>
          <w:p w14:paraId="4B3FB0F8" w14:textId="77777777" w:rsidR="00F216E9" w:rsidRDefault="00F216E9" w:rsidP="007B3BD9">
            <w:pPr>
              <w:jc w:val="center"/>
              <w:rPr>
                <w:rFonts w:ascii="Verdana" w:hAnsi="Verdana" w:cs="Tahoma"/>
                <w:sz w:val="18"/>
                <w:szCs w:val="18"/>
              </w:rPr>
            </w:pPr>
            <w:r>
              <w:rPr>
                <w:rFonts w:ascii="Verdana" w:hAnsi="Verdana" w:cs="Tahoma"/>
                <w:sz w:val="18"/>
                <w:szCs w:val="18"/>
              </w:rPr>
              <w:t>10,151</w:t>
            </w:r>
          </w:p>
        </w:tc>
        <w:tc>
          <w:tcPr>
            <w:tcW w:w="1276" w:type="dxa"/>
          </w:tcPr>
          <w:p w14:paraId="6574E971" w14:textId="77777777" w:rsidR="00F216E9" w:rsidRDefault="00F216E9" w:rsidP="007B3BD9">
            <w:pPr>
              <w:jc w:val="center"/>
              <w:rPr>
                <w:rFonts w:ascii="Verdana" w:hAnsi="Verdana" w:cs="Tahoma"/>
                <w:sz w:val="18"/>
                <w:szCs w:val="18"/>
              </w:rPr>
            </w:pPr>
            <w:r>
              <w:rPr>
                <w:rFonts w:ascii="Verdana" w:hAnsi="Verdana" w:cs="Tahoma"/>
                <w:sz w:val="18"/>
                <w:szCs w:val="18"/>
              </w:rPr>
              <w:t>769</w:t>
            </w:r>
          </w:p>
        </w:tc>
        <w:tc>
          <w:tcPr>
            <w:tcW w:w="1559" w:type="dxa"/>
          </w:tcPr>
          <w:p w14:paraId="512C7B9A" w14:textId="77777777" w:rsidR="00F216E9" w:rsidRDefault="00F216E9" w:rsidP="007B3BD9">
            <w:pPr>
              <w:jc w:val="center"/>
              <w:rPr>
                <w:rFonts w:ascii="Verdana" w:hAnsi="Verdana" w:cs="Tahoma"/>
                <w:sz w:val="18"/>
                <w:szCs w:val="18"/>
              </w:rPr>
            </w:pPr>
            <w:r>
              <w:rPr>
                <w:rFonts w:ascii="Verdana" w:hAnsi="Verdana" w:cs="Tahoma"/>
                <w:sz w:val="18"/>
                <w:szCs w:val="18"/>
              </w:rPr>
              <w:t>5.202</w:t>
            </w:r>
          </w:p>
        </w:tc>
      </w:tr>
      <w:tr w:rsidR="00F216E9" w:rsidRPr="005F1241" w14:paraId="0386D35F" w14:textId="77777777" w:rsidTr="00F216E9">
        <w:tc>
          <w:tcPr>
            <w:tcW w:w="1179" w:type="dxa"/>
          </w:tcPr>
          <w:p w14:paraId="2449DAE2" w14:textId="77777777" w:rsidR="00F216E9" w:rsidRDefault="00F216E9" w:rsidP="007B3BD9">
            <w:pPr>
              <w:jc w:val="center"/>
              <w:rPr>
                <w:rFonts w:ascii="Verdana" w:hAnsi="Verdana" w:cs="Tahoma"/>
                <w:sz w:val="18"/>
                <w:szCs w:val="18"/>
              </w:rPr>
            </w:pPr>
            <w:r>
              <w:rPr>
                <w:rFonts w:ascii="Verdana" w:hAnsi="Verdana" w:cs="Tahoma"/>
                <w:sz w:val="18"/>
                <w:szCs w:val="18"/>
              </w:rPr>
              <w:t>Efluente Final</w:t>
            </w:r>
          </w:p>
        </w:tc>
        <w:tc>
          <w:tcPr>
            <w:tcW w:w="992" w:type="dxa"/>
          </w:tcPr>
          <w:p w14:paraId="405ED629" w14:textId="77777777" w:rsidR="00F216E9" w:rsidRDefault="00F216E9" w:rsidP="007B3BD9">
            <w:pPr>
              <w:jc w:val="center"/>
              <w:rPr>
                <w:rFonts w:ascii="Verdana" w:hAnsi="Verdana" w:cs="Tahoma"/>
                <w:sz w:val="18"/>
                <w:szCs w:val="18"/>
              </w:rPr>
            </w:pPr>
            <w:r>
              <w:rPr>
                <w:rFonts w:ascii="Verdana" w:hAnsi="Verdana" w:cs="Tahoma"/>
                <w:sz w:val="18"/>
                <w:szCs w:val="18"/>
              </w:rPr>
              <w:t>11,832</w:t>
            </w:r>
          </w:p>
        </w:tc>
        <w:tc>
          <w:tcPr>
            <w:tcW w:w="1134" w:type="dxa"/>
          </w:tcPr>
          <w:p w14:paraId="114AB65E" w14:textId="77777777" w:rsidR="00F216E9" w:rsidRDefault="00F216E9" w:rsidP="007B3BD9">
            <w:pPr>
              <w:jc w:val="center"/>
              <w:rPr>
                <w:rFonts w:ascii="Verdana" w:hAnsi="Verdana" w:cs="Tahoma"/>
                <w:sz w:val="18"/>
                <w:szCs w:val="18"/>
              </w:rPr>
            </w:pPr>
            <w:r>
              <w:rPr>
                <w:rFonts w:ascii="Verdana" w:hAnsi="Verdana" w:cs="Tahoma"/>
                <w:sz w:val="18"/>
                <w:szCs w:val="18"/>
              </w:rPr>
              <w:t>2,127</w:t>
            </w:r>
          </w:p>
        </w:tc>
        <w:tc>
          <w:tcPr>
            <w:tcW w:w="851" w:type="dxa"/>
          </w:tcPr>
          <w:p w14:paraId="7A42F4F5" w14:textId="77777777" w:rsidR="00F216E9" w:rsidRDefault="00F216E9" w:rsidP="007B3BD9">
            <w:pPr>
              <w:jc w:val="center"/>
              <w:rPr>
                <w:rFonts w:ascii="Verdana" w:hAnsi="Verdana" w:cs="Tahoma"/>
                <w:sz w:val="18"/>
                <w:szCs w:val="18"/>
              </w:rPr>
            </w:pPr>
            <w:r>
              <w:rPr>
                <w:rFonts w:ascii="Verdana" w:hAnsi="Verdana" w:cs="Tahoma"/>
                <w:sz w:val="18"/>
                <w:szCs w:val="18"/>
              </w:rPr>
              <w:t>25,170</w:t>
            </w:r>
          </w:p>
        </w:tc>
        <w:tc>
          <w:tcPr>
            <w:tcW w:w="1134" w:type="dxa"/>
          </w:tcPr>
          <w:p w14:paraId="75BC5FC6" w14:textId="77777777" w:rsidR="00F216E9" w:rsidRDefault="00F216E9" w:rsidP="007B3BD9">
            <w:pPr>
              <w:jc w:val="center"/>
              <w:rPr>
                <w:rFonts w:ascii="Verdana" w:hAnsi="Verdana" w:cs="Tahoma"/>
                <w:sz w:val="18"/>
                <w:szCs w:val="18"/>
              </w:rPr>
            </w:pPr>
            <w:r>
              <w:rPr>
                <w:rFonts w:ascii="Verdana" w:hAnsi="Verdana" w:cs="Tahoma"/>
                <w:sz w:val="18"/>
                <w:szCs w:val="18"/>
              </w:rPr>
              <w:t>3,542</w:t>
            </w:r>
          </w:p>
        </w:tc>
        <w:tc>
          <w:tcPr>
            <w:tcW w:w="992" w:type="dxa"/>
          </w:tcPr>
          <w:p w14:paraId="56B32A09" w14:textId="77777777" w:rsidR="00F216E9" w:rsidRDefault="00F216E9" w:rsidP="007B3BD9">
            <w:pPr>
              <w:jc w:val="center"/>
              <w:rPr>
                <w:rFonts w:ascii="Verdana" w:hAnsi="Verdana" w:cs="Tahoma"/>
                <w:sz w:val="18"/>
                <w:szCs w:val="18"/>
              </w:rPr>
            </w:pPr>
            <w:r>
              <w:rPr>
                <w:rFonts w:ascii="Verdana" w:hAnsi="Verdana" w:cs="Tahoma"/>
                <w:sz w:val="18"/>
                <w:szCs w:val="18"/>
              </w:rPr>
              <w:t>41,914</w:t>
            </w:r>
          </w:p>
        </w:tc>
        <w:tc>
          <w:tcPr>
            <w:tcW w:w="1276" w:type="dxa"/>
          </w:tcPr>
          <w:p w14:paraId="326085E5" w14:textId="77777777" w:rsidR="00F216E9" w:rsidRDefault="00F216E9" w:rsidP="007B3BD9">
            <w:pPr>
              <w:jc w:val="center"/>
              <w:rPr>
                <w:rFonts w:ascii="Verdana" w:hAnsi="Verdana" w:cs="Tahoma"/>
                <w:sz w:val="18"/>
                <w:szCs w:val="18"/>
              </w:rPr>
            </w:pPr>
            <w:r>
              <w:rPr>
                <w:rFonts w:ascii="Verdana" w:hAnsi="Verdana" w:cs="Tahoma"/>
                <w:sz w:val="18"/>
                <w:szCs w:val="18"/>
              </w:rPr>
              <w:t>904</w:t>
            </w:r>
          </w:p>
        </w:tc>
        <w:tc>
          <w:tcPr>
            <w:tcW w:w="1559" w:type="dxa"/>
          </w:tcPr>
          <w:p w14:paraId="3BFD67E0" w14:textId="77777777" w:rsidR="00F216E9" w:rsidRDefault="00F216E9" w:rsidP="007B3BD9">
            <w:pPr>
              <w:jc w:val="center"/>
              <w:rPr>
                <w:rFonts w:ascii="Verdana" w:hAnsi="Verdana" w:cs="Tahoma"/>
                <w:sz w:val="18"/>
                <w:szCs w:val="18"/>
              </w:rPr>
            </w:pPr>
            <w:r>
              <w:rPr>
                <w:rFonts w:ascii="Verdana" w:hAnsi="Verdana" w:cs="Tahoma"/>
                <w:sz w:val="18"/>
                <w:szCs w:val="18"/>
              </w:rPr>
              <w:t>10,702</w:t>
            </w:r>
          </w:p>
        </w:tc>
      </w:tr>
    </w:tbl>
    <w:p w14:paraId="66679291" w14:textId="77777777" w:rsidR="00F216E9" w:rsidRDefault="00F216E9" w:rsidP="00827EBF">
      <w:pPr>
        <w:ind w:firstLine="708"/>
        <w:jc w:val="both"/>
        <w:rPr>
          <w:rFonts w:ascii="Verdana" w:hAnsi="Verdana"/>
        </w:rPr>
      </w:pPr>
    </w:p>
    <w:p w14:paraId="2E6EA137" w14:textId="77777777" w:rsidR="005C7B90" w:rsidRDefault="005C7B90" w:rsidP="00827EBF">
      <w:pPr>
        <w:ind w:firstLine="708"/>
        <w:jc w:val="both"/>
        <w:rPr>
          <w:rFonts w:ascii="Verdana" w:hAnsi="Verdana"/>
        </w:rPr>
      </w:pPr>
      <w:r>
        <w:rPr>
          <w:rFonts w:ascii="Verdana" w:hAnsi="Verdana"/>
        </w:rPr>
        <w:t>Debido a lo anterior, los caudales de diseño eran los siguientes</w:t>
      </w:r>
      <w:r>
        <w:rPr>
          <w:rStyle w:val="Refdenotaalpie"/>
          <w:rFonts w:ascii="Verdana" w:hAnsi="Verdana"/>
        </w:rPr>
        <w:footnoteReference w:id="1"/>
      </w:r>
      <w:r>
        <w:rPr>
          <w:rFonts w:ascii="Verdana" w:hAnsi="Verdana"/>
        </w:rPr>
        <w:t>:</w:t>
      </w:r>
    </w:p>
    <w:tbl>
      <w:tblPr>
        <w:tblStyle w:val="Tablaconcuadrcula"/>
        <w:tblW w:w="0" w:type="auto"/>
        <w:tblLook w:val="04A0" w:firstRow="1" w:lastRow="0" w:firstColumn="1" w:lastColumn="0" w:noHBand="0" w:noVBand="1"/>
      </w:tblPr>
      <w:tblGrid>
        <w:gridCol w:w="5110"/>
        <w:gridCol w:w="5110"/>
      </w:tblGrid>
      <w:tr w:rsidR="005C7B90" w14:paraId="77B4BB7A" w14:textId="77777777" w:rsidTr="005C7B90">
        <w:tc>
          <w:tcPr>
            <w:tcW w:w="5110" w:type="dxa"/>
          </w:tcPr>
          <w:p w14:paraId="652B7AF8" w14:textId="77777777" w:rsidR="005C7B90" w:rsidRDefault="005C7B90" w:rsidP="00827EBF">
            <w:pPr>
              <w:jc w:val="both"/>
              <w:rPr>
                <w:rFonts w:ascii="Verdana" w:hAnsi="Verdana"/>
              </w:rPr>
            </w:pPr>
            <w:r>
              <w:rPr>
                <w:rFonts w:ascii="Verdana" w:hAnsi="Verdana"/>
              </w:rPr>
              <w:t>Caudal Promedio (m3/día)</w:t>
            </w:r>
          </w:p>
        </w:tc>
        <w:tc>
          <w:tcPr>
            <w:tcW w:w="5110" w:type="dxa"/>
          </w:tcPr>
          <w:p w14:paraId="50195A94" w14:textId="77777777" w:rsidR="005C7B90" w:rsidRDefault="005C7B90" w:rsidP="00827EBF">
            <w:pPr>
              <w:jc w:val="both"/>
              <w:rPr>
                <w:rFonts w:ascii="Verdana" w:hAnsi="Verdana"/>
              </w:rPr>
            </w:pPr>
            <w:r>
              <w:rPr>
                <w:rFonts w:ascii="Verdana" w:hAnsi="Verdana"/>
              </w:rPr>
              <w:t>Caudal Máximo (m3/día)</w:t>
            </w:r>
          </w:p>
        </w:tc>
      </w:tr>
      <w:tr w:rsidR="005C7B90" w14:paraId="6EEDA8A4" w14:textId="77777777" w:rsidTr="005C7B90">
        <w:tc>
          <w:tcPr>
            <w:tcW w:w="5110" w:type="dxa"/>
          </w:tcPr>
          <w:p w14:paraId="6B891DBF" w14:textId="77777777" w:rsidR="005C7B90" w:rsidRPr="00FC22CA" w:rsidRDefault="005C7B90" w:rsidP="00827EBF">
            <w:pPr>
              <w:jc w:val="both"/>
              <w:rPr>
                <w:rFonts w:ascii="Verdana" w:hAnsi="Verdana"/>
                <w:b/>
              </w:rPr>
            </w:pPr>
            <w:r w:rsidRPr="00FC22CA">
              <w:rPr>
                <w:rFonts w:ascii="Verdana" w:hAnsi="Verdana"/>
                <w:b/>
              </w:rPr>
              <w:t>10,000</w:t>
            </w:r>
          </w:p>
        </w:tc>
        <w:tc>
          <w:tcPr>
            <w:tcW w:w="5110" w:type="dxa"/>
          </w:tcPr>
          <w:p w14:paraId="06470DEB" w14:textId="77777777" w:rsidR="005C7B90" w:rsidRPr="00FC22CA" w:rsidRDefault="005C7B90" w:rsidP="00827EBF">
            <w:pPr>
              <w:jc w:val="both"/>
              <w:rPr>
                <w:rFonts w:ascii="Verdana" w:hAnsi="Verdana"/>
                <w:b/>
              </w:rPr>
            </w:pPr>
            <w:r w:rsidRPr="00FC22CA">
              <w:rPr>
                <w:rFonts w:ascii="Verdana" w:hAnsi="Verdana"/>
                <w:b/>
              </w:rPr>
              <w:t>11,800</w:t>
            </w:r>
          </w:p>
        </w:tc>
      </w:tr>
    </w:tbl>
    <w:p w14:paraId="2E6B853A" w14:textId="77777777" w:rsidR="005C7B90" w:rsidRDefault="005C7B90" w:rsidP="00827EBF">
      <w:pPr>
        <w:ind w:firstLine="708"/>
        <w:jc w:val="both"/>
        <w:rPr>
          <w:rFonts w:ascii="Verdana" w:hAnsi="Verdana"/>
        </w:rPr>
      </w:pPr>
    </w:p>
    <w:p w14:paraId="6239C9A7" w14:textId="78E5F9B3" w:rsidR="00FC22CA" w:rsidRDefault="00FC22CA" w:rsidP="00827EBF">
      <w:pPr>
        <w:ind w:firstLine="708"/>
        <w:jc w:val="both"/>
        <w:rPr>
          <w:rFonts w:ascii="Verdana" w:hAnsi="Verdana"/>
        </w:rPr>
      </w:pPr>
      <w:r>
        <w:rPr>
          <w:rFonts w:ascii="Verdana" w:hAnsi="Verdana"/>
        </w:rPr>
        <w:lastRenderedPageBreak/>
        <w:t>Así lo reitera la Resolución Exenta N°638 de 30 de octubre de 2014 de la Superintendencia de Medio Ambiente (“SMA”) que establece el programa de monitoreo provisional de la calidad del efluente generado por Aconcagua, al señalar en el punto 1.5 que el caudal máximo de descarga permitido no podrá exceder el límite fijado en la RCA N°385/2007.</w:t>
      </w:r>
    </w:p>
    <w:p w14:paraId="6DE2E067" w14:textId="77777777" w:rsidR="006F1260" w:rsidRDefault="005C7B90" w:rsidP="006F1260">
      <w:pPr>
        <w:jc w:val="both"/>
        <w:rPr>
          <w:rFonts w:ascii="Verdana" w:hAnsi="Verdana" w:cs="Tahoma"/>
        </w:rPr>
      </w:pPr>
      <w:r w:rsidRPr="006F1260">
        <w:rPr>
          <w:rFonts w:ascii="Verdana" w:hAnsi="Verdana"/>
          <w:b/>
        </w:rPr>
        <w:t>b)</w:t>
      </w:r>
      <w:r w:rsidR="006F1260">
        <w:rPr>
          <w:rFonts w:ascii="Verdana" w:hAnsi="Verdana"/>
          <w:b/>
        </w:rPr>
        <w:tab/>
      </w:r>
      <w:r w:rsidR="00F92711">
        <w:rPr>
          <w:rFonts w:ascii="Verdana" w:hAnsi="Verdana"/>
        </w:rPr>
        <w:t xml:space="preserve">Posteriormente, con el fin de </w:t>
      </w:r>
      <w:r w:rsidR="00F92711" w:rsidRPr="00FB47F2">
        <w:rPr>
          <w:rFonts w:ascii="Verdana" w:hAnsi="Verdana" w:cs="Tahoma"/>
        </w:rPr>
        <w:t>aumentar el tratamiento original de la Demanda Química de Oxígeno (DQO), en aproximadamente un 17%, además de eliminar la generación de ácido sulfhídrico</w:t>
      </w:r>
      <w:r w:rsidR="00F92711">
        <w:rPr>
          <w:rFonts w:ascii="Verdana" w:hAnsi="Verdana" w:cs="Tahoma"/>
        </w:rPr>
        <w:t xml:space="preserve">, </w:t>
      </w:r>
      <w:r w:rsidR="00F92711" w:rsidRPr="00FB47F2">
        <w:rPr>
          <w:rFonts w:ascii="Verdana" w:hAnsi="Verdana" w:cs="Tahoma"/>
        </w:rPr>
        <w:t>se presentó ante el Servicio de Evaluación Ambiental</w:t>
      </w:r>
      <w:r w:rsidR="006F1260">
        <w:rPr>
          <w:rFonts w:ascii="Verdana" w:hAnsi="Verdana" w:cs="Tahoma"/>
        </w:rPr>
        <w:t xml:space="preserve"> (“SEA”)</w:t>
      </w:r>
      <w:r w:rsidR="00F92711" w:rsidRPr="00FB47F2">
        <w:rPr>
          <w:rFonts w:ascii="Verdana" w:hAnsi="Verdana" w:cs="Tahoma"/>
        </w:rPr>
        <w:t xml:space="preserve"> una Declaración de Impacto Ambiental denominada “Regulación y Mejoramiento del Sistema de Tratamiento de RILes Aconcagua Foods”, el cua</w:t>
      </w:r>
      <w:r w:rsidR="00D669DE">
        <w:rPr>
          <w:rFonts w:ascii="Verdana" w:hAnsi="Verdana" w:cs="Tahoma"/>
        </w:rPr>
        <w:t xml:space="preserve">l modificó el proyecto original, siendo </w:t>
      </w:r>
      <w:r w:rsidR="00F92711" w:rsidRPr="00FB47F2">
        <w:rPr>
          <w:rFonts w:ascii="Verdana" w:hAnsi="Verdana" w:cs="Tahoma"/>
        </w:rPr>
        <w:t xml:space="preserve">calificado ambientalmente favorable por </w:t>
      </w:r>
      <w:r w:rsidR="00D669DE">
        <w:rPr>
          <w:rFonts w:ascii="Verdana" w:hAnsi="Verdana" w:cs="Tahoma"/>
        </w:rPr>
        <w:t xml:space="preserve">la </w:t>
      </w:r>
      <w:r w:rsidR="00397B6D">
        <w:rPr>
          <w:rFonts w:ascii="Verdana" w:hAnsi="Verdana" w:cs="Tahoma"/>
        </w:rPr>
        <w:t>R</w:t>
      </w:r>
      <w:r w:rsidR="006F1260">
        <w:rPr>
          <w:rFonts w:ascii="Verdana" w:hAnsi="Verdana" w:cs="Tahoma"/>
        </w:rPr>
        <w:t xml:space="preserve">esolución </w:t>
      </w:r>
      <w:r w:rsidR="00F92711" w:rsidRPr="00FB47F2">
        <w:rPr>
          <w:rFonts w:ascii="Verdana" w:hAnsi="Verdana" w:cs="Tahoma"/>
        </w:rPr>
        <w:t>N°465</w:t>
      </w:r>
      <w:r w:rsidR="006F1260">
        <w:rPr>
          <w:rFonts w:ascii="Verdana" w:hAnsi="Verdana" w:cs="Tahoma"/>
        </w:rPr>
        <w:t xml:space="preserve"> de 24 de septiembre </w:t>
      </w:r>
      <w:r w:rsidR="00F92711" w:rsidRPr="00FB47F2">
        <w:rPr>
          <w:rFonts w:ascii="Verdana" w:hAnsi="Verdana" w:cs="Tahoma"/>
        </w:rPr>
        <w:t>2013</w:t>
      </w:r>
      <w:r w:rsidR="006F1260">
        <w:rPr>
          <w:rFonts w:ascii="Verdana" w:hAnsi="Verdana" w:cs="Tahoma"/>
        </w:rPr>
        <w:t xml:space="preserve"> de la Comisión de Evaluación de la Región Metropolitana (“RCA N°465/2013”)</w:t>
      </w:r>
      <w:r w:rsidR="00F92711" w:rsidRPr="00FB47F2">
        <w:rPr>
          <w:rFonts w:ascii="Verdana" w:hAnsi="Verdana" w:cs="Tahoma"/>
        </w:rPr>
        <w:t xml:space="preserve">. </w:t>
      </w:r>
    </w:p>
    <w:p w14:paraId="33C7C38F" w14:textId="77777777" w:rsidR="00C968F5" w:rsidRDefault="00F92711" w:rsidP="006F1260">
      <w:pPr>
        <w:ind w:firstLine="708"/>
        <w:jc w:val="both"/>
        <w:rPr>
          <w:rFonts w:ascii="Verdana" w:hAnsi="Verdana" w:cs="Tahoma"/>
        </w:rPr>
      </w:pPr>
      <w:r w:rsidRPr="00FB47F2">
        <w:rPr>
          <w:rFonts w:ascii="Verdana" w:hAnsi="Verdana" w:cs="Tahoma"/>
        </w:rPr>
        <w:t>A su vez,</w:t>
      </w:r>
      <w:r w:rsidR="00D71CB5">
        <w:rPr>
          <w:rFonts w:ascii="Verdana" w:hAnsi="Verdana" w:cs="Tahoma"/>
        </w:rPr>
        <w:t xml:space="preserve"> se</w:t>
      </w:r>
      <w:r w:rsidRPr="00FB47F2">
        <w:rPr>
          <w:rFonts w:ascii="Verdana" w:hAnsi="Verdana" w:cs="Tahoma"/>
        </w:rPr>
        <w:t xml:space="preserve"> mejoró la eficiencia de la P</w:t>
      </w:r>
      <w:r w:rsidR="00D669DE">
        <w:rPr>
          <w:rFonts w:ascii="Verdana" w:hAnsi="Verdana" w:cs="Tahoma"/>
        </w:rPr>
        <w:t xml:space="preserve">lanta de </w:t>
      </w:r>
      <w:r w:rsidRPr="00FB47F2">
        <w:rPr>
          <w:rFonts w:ascii="Verdana" w:hAnsi="Verdana" w:cs="Tahoma"/>
        </w:rPr>
        <w:t>T</w:t>
      </w:r>
      <w:r w:rsidR="00D669DE">
        <w:rPr>
          <w:rFonts w:ascii="Verdana" w:hAnsi="Verdana" w:cs="Tahoma"/>
        </w:rPr>
        <w:t>ratamiento</w:t>
      </w:r>
      <w:r w:rsidRPr="00FB47F2">
        <w:rPr>
          <w:rFonts w:ascii="Verdana" w:hAnsi="Verdana" w:cs="Tahoma"/>
        </w:rPr>
        <w:t xml:space="preserve"> original, al funcionar bajo las mismas condiciones indicadas en la RCA N°385/2007, esto es, con un mismo caudal de entrada y salida, idénticas características del RIL y mismo punto de descarga.</w:t>
      </w:r>
    </w:p>
    <w:p w14:paraId="11A60D68" w14:textId="77777777" w:rsidR="00F85BAD" w:rsidRDefault="00F85BAD" w:rsidP="00827EBF">
      <w:pPr>
        <w:ind w:firstLine="708"/>
        <w:jc w:val="both"/>
        <w:rPr>
          <w:rFonts w:ascii="Verdana" w:hAnsi="Verdana" w:cs="Tahoma"/>
        </w:rPr>
      </w:pPr>
      <w:r>
        <w:rPr>
          <w:rFonts w:ascii="Verdana" w:hAnsi="Verdana" w:cs="Tahoma"/>
        </w:rPr>
        <w:t xml:space="preserve">Este último proyecto, en su numeral </w:t>
      </w:r>
      <w:r>
        <w:rPr>
          <w:rFonts w:ascii="Verdana" w:hAnsi="Verdana" w:cs="Tahoma"/>
          <w:b/>
        </w:rPr>
        <w:t xml:space="preserve">3.2.1 </w:t>
      </w:r>
      <w:r>
        <w:rPr>
          <w:rFonts w:ascii="Verdana" w:hAnsi="Verdana" w:cs="Tahoma"/>
        </w:rPr>
        <w:t xml:space="preserve">sobre </w:t>
      </w:r>
      <w:r>
        <w:rPr>
          <w:rFonts w:ascii="Verdana" w:hAnsi="Verdana" w:cs="Tahoma"/>
          <w:b/>
        </w:rPr>
        <w:t>Características del RIL</w:t>
      </w:r>
      <w:r>
        <w:rPr>
          <w:rFonts w:ascii="Verdana" w:hAnsi="Verdana" w:cs="Tahoma"/>
        </w:rPr>
        <w:t>, presenta los parámetros de diseño de la Planta de Tratamiento de RILes de Aconcagua Foods,</w:t>
      </w:r>
      <w:r w:rsidR="006F1260">
        <w:rPr>
          <w:rFonts w:ascii="Verdana" w:hAnsi="Verdana" w:cs="Tahoma"/>
        </w:rPr>
        <w:t xml:space="preserve"> mediante la Tabla N°</w:t>
      </w:r>
      <w:r w:rsidR="00024CF0">
        <w:rPr>
          <w:rFonts w:ascii="Verdana" w:hAnsi="Verdana" w:cs="Tahoma"/>
        </w:rPr>
        <w:t xml:space="preserve">5, </w:t>
      </w:r>
      <w:r>
        <w:rPr>
          <w:rFonts w:ascii="Verdana" w:hAnsi="Verdana" w:cs="Tahoma"/>
        </w:rPr>
        <w:t>que dispone lo siguiente:</w:t>
      </w:r>
    </w:p>
    <w:tbl>
      <w:tblPr>
        <w:tblStyle w:val="Tablaconcuadrcula"/>
        <w:tblW w:w="0" w:type="auto"/>
        <w:tblInd w:w="347" w:type="dxa"/>
        <w:tblLook w:val="04A0" w:firstRow="1" w:lastRow="0" w:firstColumn="1" w:lastColumn="0" w:noHBand="0" w:noVBand="1"/>
      </w:tblPr>
      <w:tblGrid>
        <w:gridCol w:w="1068"/>
        <w:gridCol w:w="1004"/>
        <w:gridCol w:w="883"/>
        <w:gridCol w:w="972"/>
        <w:gridCol w:w="883"/>
        <w:gridCol w:w="990"/>
        <w:gridCol w:w="883"/>
        <w:gridCol w:w="925"/>
        <w:gridCol w:w="883"/>
        <w:gridCol w:w="883"/>
      </w:tblGrid>
      <w:tr w:rsidR="0066121F" w:rsidRPr="005F1241" w14:paraId="3A81F2F1" w14:textId="77777777" w:rsidTr="005F1241">
        <w:tc>
          <w:tcPr>
            <w:tcW w:w="1068" w:type="dxa"/>
          </w:tcPr>
          <w:p w14:paraId="2A5D1B0F" w14:textId="77777777" w:rsidR="005F1241" w:rsidRPr="005F1241" w:rsidRDefault="005F1241" w:rsidP="005F1241">
            <w:pPr>
              <w:jc w:val="center"/>
              <w:rPr>
                <w:rFonts w:ascii="Verdana" w:hAnsi="Verdana" w:cs="Tahoma"/>
                <w:sz w:val="18"/>
                <w:szCs w:val="18"/>
              </w:rPr>
            </w:pPr>
            <w:r w:rsidRPr="005F1241">
              <w:rPr>
                <w:rFonts w:ascii="Verdana" w:hAnsi="Verdana" w:cs="Tahoma"/>
                <w:sz w:val="18"/>
                <w:szCs w:val="18"/>
              </w:rPr>
              <w:t>Caudal promedio (m³/día)</w:t>
            </w:r>
          </w:p>
        </w:tc>
        <w:tc>
          <w:tcPr>
            <w:tcW w:w="1004" w:type="dxa"/>
          </w:tcPr>
          <w:p w14:paraId="50E3E4D7" w14:textId="77777777" w:rsidR="005F1241" w:rsidRPr="005F1241" w:rsidRDefault="005F1241" w:rsidP="005F1241">
            <w:pPr>
              <w:jc w:val="center"/>
              <w:rPr>
                <w:rFonts w:ascii="Verdana" w:hAnsi="Verdana" w:cs="Tahoma"/>
                <w:sz w:val="18"/>
                <w:szCs w:val="18"/>
              </w:rPr>
            </w:pPr>
            <w:r>
              <w:rPr>
                <w:rFonts w:ascii="Verdana" w:hAnsi="Verdana" w:cs="Tahoma"/>
                <w:sz w:val="18"/>
                <w:szCs w:val="18"/>
              </w:rPr>
              <w:t>Caudal máximo (m³/día)</w:t>
            </w:r>
          </w:p>
        </w:tc>
        <w:tc>
          <w:tcPr>
            <w:tcW w:w="883" w:type="dxa"/>
          </w:tcPr>
          <w:p w14:paraId="51CEF681" w14:textId="77777777" w:rsidR="005F1241" w:rsidRPr="005F1241" w:rsidRDefault="005F1241" w:rsidP="005F1241">
            <w:pPr>
              <w:jc w:val="center"/>
              <w:rPr>
                <w:rFonts w:ascii="Verdana" w:hAnsi="Verdana" w:cs="Tahoma"/>
                <w:sz w:val="18"/>
                <w:szCs w:val="18"/>
              </w:rPr>
            </w:pPr>
            <w:r>
              <w:rPr>
                <w:rFonts w:ascii="Verdana" w:hAnsi="Verdana" w:cs="Tahoma"/>
                <w:sz w:val="18"/>
                <w:szCs w:val="18"/>
              </w:rPr>
              <w:t>DBO (mg/L)</w:t>
            </w:r>
          </w:p>
        </w:tc>
        <w:tc>
          <w:tcPr>
            <w:tcW w:w="972" w:type="dxa"/>
          </w:tcPr>
          <w:p w14:paraId="0BD38A02" w14:textId="77777777" w:rsidR="005F1241" w:rsidRPr="005F1241" w:rsidRDefault="005F1241" w:rsidP="005F1241">
            <w:pPr>
              <w:jc w:val="center"/>
              <w:rPr>
                <w:rFonts w:ascii="Verdana" w:hAnsi="Verdana" w:cs="Tahoma"/>
                <w:sz w:val="18"/>
                <w:szCs w:val="18"/>
              </w:rPr>
            </w:pPr>
            <w:r>
              <w:rPr>
                <w:rFonts w:ascii="Verdana" w:hAnsi="Verdana" w:cs="Tahoma"/>
                <w:sz w:val="18"/>
                <w:szCs w:val="18"/>
              </w:rPr>
              <w:t>Kg DBO/día</w:t>
            </w:r>
          </w:p>
        </w:tc>
        <w:tc>
          <w:tcPr>
            <w:tcW w:w="883" w:type="dxa"/>
          </w:tcPr>
          <w:p w14:paraId="4D622BB8" w14:textId="77777777" w:rsidR="005F1241" w:rsidRPr="005F1241" w:rsidRDefault="005F1241" w:rsidP="005F1241">
            <w:pPr>
              <w:jc w:val="center"/>
              <w:rPr>
                <w:rFonts w:ascii="Verdana" w:hAnsi="Verdana" w:cs="Tahoma"/>
                <w:sz w:val="18"/>
                <w:szCs w:val="18"/>
              </w:rPr>
            </w:pPr>
            <w:r>
              <w:rPr>
                <w:rFonts w:ascii="Verdana" w:hAnsi="Verdana" w:cs="Tahoma"/>
                <w:sz w:val="18"/>
                <w:szCs w:val="18"/>
              </w:rPr>
              <w:t>DQO (mg/L)</w:t>
            </w:r>
          </w:p>
        </w:tc>
        <w:tc>
          <w:tcPr>
            <w:tcW w:w="990" w:type="dxa"/>
          </w:tcPr>
          <w:p w14:paraId="4A340623" w14:textId="77777777" w:rsidR="005F1241" w:rsidRPr="005F1241" w:rsidRDefault="005F1241" w:rsidP="005F1241">
            <w:pPr>
              <w:jc w:val="center"/>
              <w:rPr>
                <w:rFonts w:ascii="Verdana" w:hAnsi="Verdana" w:cs="Tahoma"/>
                <w:sz w:val="18"/>
                <w:szCs w:val="18"/>
              </w:rPr>
            </w:pPr>
            <w:r>
              <w:rPr>
                <w:rFonts w:ascii="Verdana" w:hAnsi="Verdana" w:cs="Tahoma"/>
                <w:sz w:val="18"/>
                <w:szCs w:val="18"/>
              </w:rPr>
              <w:t>Kg DQO/día</w:t>
            </w:r>
          </w:p>
        </w:tc>
        <w:tc>
          <w:tcPr>
            <w:tcW w:w="883" w:type="dxa"/>
          </w:tcPr>
          <w:p w14:paraId="48DC53D1" w14:textId="77777777" w:rsidR="005F1241" w:rsidRPr="005F1241" w:rsidRDefault="005F1241" w:rsidP="005F1241">
            <w:pPr>
              <w:jc w:val="center"/>
              <w:rPr>
                <w:rFonts w:ascii="Verdana" w:hAnsi="Verdana" w:cs="Tahoma"/>
                <w:sz w:val="18"/>
                <w:szCs w:val="18"/>
              </w:rPr>
            </w:pPr>
            <w:r>
              <w:rPr>
                <w:rFonts w:ascii="Verdana" w:hAnsi="Verdana" w:cs="Tahoma"/>
                <w:sz w:val="18"/>
                <w:szCs w:val="18"/>
              </w:rPr>
              <w:t>SST (mg/L)</w:t>
            </w:r>
          </w:p>
        </w:tc>
        <w:tc>
          <w:tcPr>
            <w:tcW w:w="925" w:type="dxa"/>
          </w:tcPr>
          <w:p w14:paraId="4788505E" w14:textId="77777777" w:rsidR="005F1241" w:rsidRPr="005F1241" w:rsidRDefault="005F1241" w:rsidP="005F1241">
            <w:pPr>
              <w:jc w:val="center"/>
              <w:rPr>
                <w:rFonts w:ascii="Verdana" w:hAnsi="Verdana" w:cs="Tahoma"/>
                <w:sz w:val="18"/>
                <w:szCs w:val="18"/>
              </w:rPr>
            </w:pPr>
            <w:r>
              <w:rPr>
                <w:rFonts w:ascii="Verdana" w:hAnsi="Verdana" w:cs="Tahoma"/>
                <w:sz w:val="18"/>
                <w:szCs w:val="18"/>
              </w:rPr>
              <w:t>Kg SST/día</w:t>
            </w:r>
          </w:p>
        </w:tc>
        <w:tc>
          <w:tcPr>
            <w:tcW w:w="883" w:type="dxa"/>
          </w:tcPr>
          <w:p w14:paraId="537FFF03" w14:textId="77777777" w:rsidR="005F1241" w:rsidRPr="005F1241" w:rsidRDefault="005F1241" w:rsidP="005F1241">
            <w:pPr>
              <w:jc w:val="center"/>
              <w:rPr>
                <w:rFonts w:ascii="Verdana" w:hAnsi="Verdana" w:cs="Tahoma"/>
                <w:sz w:val="18"/>
                <w:szCs w:val="18"/>
              </w:rPr>
            </w:pPr>
            <w:r>
              <w:rPr>
                <w:rFonts w:ascii="Verdana" w:hAnsi="Verdana" w:cs="Tahoma"/>
                <w:sz w:val="18"/>
                <w:szCs w:val="18"/>
              </w:rPr>
              <w:t>pH</w:t>
            </w:r>
          </w:p>
        </w:tc>
        <w:tc>
          <w:tcPr>
            <w:tcW w:w="883" w:type="dxa"/>
          </w:tcPr>
          <w:p w14:paraId="70670043" w14:textId="77777777" w:rsidR="005F1241" w:rsidRPr="005F1241" w:rsidRDefault="005F1241" w:rsidP="005F1241">
            <w:pPr>
              <w:jc w:val="center"/>
              <w:rPr>
                <w:rFonts w:ascii="Verdana" w:hAnsi="Verdana" w:cs="Tahoma"/>
                <w:sz w:val="18"/>
                <w:szCs w:val="18"/>
              </w:rPr>
            </w:pPr>
            <w:r>
              <w:rPr>
                <w:rFonts w:ascii="Verdana" w:hAnsi="Verdana" w:cs="Tahoma"/>
                <w:sz w:val="18"/>
                <w:szCs w:val="18"/>
              </w:rPr>
              <w:t>Aceites y grasas (mg/L)</w:t>
            </w:r>
          </w:p>
        </w:tc>
      </w:tr>
      <w:tr w:rsidR="0066121F" w:rsidRPr="005F1241" w14:paraId="6C6D0B5F" w14:textId="77777777" w:rsidTr="005F1241">
        <w:tc>
          <w:tcPr>
            <w:tcW w:w="1068" w:type="dxa"/>
          </w:tcPr>
          <w:p w14:paraId="2651D0E8" w14:textId="77777777" w:rsidR="005F1241" w:rsidRPr="005F1241" w:rsidRDefault="005F1241" w:rsidP="005F1241">
            <w:pPr>
              <w:jc w:val="center"/>
              <w:rPr>
                <w:rFonts w:ascii="Verdana" w:hAnsi="Verdana" w:cs="Tahoma"/>
                <w:sz w:val="18"/>
                <w:szCs w:val="18"/>
              </w:rPr>
            </w:pPr>
            <w:r w:rsidRPr="005F1241">
              <w:rPr>
                <w:rFonts w:ascii="Verdana" w:hAnsi="Verdana" w:cs="Tahoma"/>
                <w:sz w:val="18"/>
                <w:szCs w:val="18"/>
              </w:rPr>
              <w:t>10.000</w:t>
            </w:r>
          </w:p>
        </w:tc>
        <w:tc>
          <w:tcPr>
            <w:tcW w:w="1004" w:type="dxa"/>
          </w:tcPr>
          <w:p w14:paraId="2BC82774" w14:textId="77777777" w:rsidR="005F1241" w:rsidRPr="005F1241" w:rsidRDefault="005F1241" w:rsidP="005F1241">
            <w:pPr>
              <w:jc w:val="center"/>
              <w:rPr>
                <w:rFonts w:ascii="Verdana" w:hAnsi="Verdana" w:cs="Tahoma"/>
                <w:sz w:val="18"/>
                <w:szCs w:val="18"/>
              </w:rPr>
            </w:pPr>
            <w:r>
              <w:rPr>
                <w:rFonts w:ascii="Verdana" w:hAnsi="Verdana" w:cs="Tahoma"/>
                <w:sz w:val="18"/>
                <w:szCs w:val="18"/>
              </w:rPr>
              <w:t>11.832</w:t>
            </w:r>
          </w:p>
        </w:tc>
        <w:tc>
          <w:tcPr>
            <w:tcW w:w="883" w:type="dxa"/>
          </w:tcPr>
          <w:p w14:paraId="389E5872" w14:textId="77777777" w:rsidR="005F1241" w:rsidRPr="005F1241" w:rsidRDefault="005F1241" w:rsidP="005F1241">
            <w:pPr>
              <w:jc w:val="center"/>
              <w:rPr>
                <w:rFonts w:ascii="Verdana" w:hAnsi="Verdana" w:cs="Tahoma"/>
                <w:sz w:val="18"/>
                <w:szCs w:val="18"/>
              </w:rPr>
            </w:pPr>
            <w:r>
              <w:rPr>
                <w:rFonts w:ascii="Verdana" w:hAnsi="Verdana" w:cs="Tahoma"/>
                <w:sz w:val="18"/>
                <w:szCs w:val="18"/>
              </w:rPr>
              <w:t>2.127</w:t>
            </w:r>
          </w:p>
        </w:tc>
        <w:tc>
          <w:tcPr>
            <w:tcW w:w="972" w:type="dxa"/>
          </w:tcPr>
          <w:p w14:paraId="2DB3D5F2" w14:textId="77777777" w:rsidR="005F1241" w:rsidRPr="005F1241" w:rsidRDefault="005F1241" w:rsidP="005F1241">
            <w:pPr>
              <w:jc w:val="center"/>
              <w:rPr>
                <w:rFonts w:ascii="Verdana" w:hAnsi="Verdana" w:cs="Tahoma"/>
                <w:sz w:val="18"/>
                <w:szCs w:val="18"/>
              </w:rPr>
            </w:pPr>
            <w:r>
              <w:rPr>
                <w:rFonts w:ascii="Verdana" w:hAnsi="Verdana" w:cs="Tahoma"/>
                <w:sz w:val="18"/>
                <w:szCs w:val="18"/>
              </w:rPr>
              <w:t>25.170</w:t>
            </w:r>
          </w:p>
        </w:tc>
        <w:tc>
          <w:tcPr>
            <w:tcW w:w="883" w:type="dxa"/>
          </w:tcPr>
          <w:p w14:paraId="67237828" w14:textId="77777777" w:rsidR="005F1241" w:rsidRPr="005F1241" w:rsidRDefault="005F1241" w:rsidP="005F1241">
            <w:pPr>
              <w:jc w:val="center"/>
              <w:rPr>
                <w:rFonts w:ascii="Verdana" w:hAnsi="Verdana" w:cs="Tahoma"/>
                <w:sz w:val="18"/>
                <w:szCs w:val="18"/>
              </w:rPr>
            </w:pPr>
            <w:r>
              <w:rPr>
                <w:rFonts w:ascii="Verdana" w:hAnsi="Verdana" w:cs="Tahoma"/>
                <w:sz w:val="18"/>
                <w:szCs w:val="18"/>
              </w:rPr>
              <w:t>3.542</w:t>
            </w:r>
          </w:p>
        </w:tc>
        <w:tc>
          <w:tcPr>
            <w:tcW w:w="990" w:type="dxa"/>
          </w:tcPr>
          <w:p w14:paraId="56C58F2A" w14:textId="77777777" w:rsidR="005F1241" w:rsidRPr="005F1241" w:rsidRDefault="005F1241" w:rsidP="005F1241">
            <w:pPr>
              <w:jc w:val="center"/>
              <w:rPr>
                <w:rFonts w:ascii="Verdana" w:hAnsi="Verdana" w:cs="Tahoma"/>
                <w:sz w:val="18"/>
                <w:szCs w:val="18"/>
              </w:rPr>
            </w:pPr>
            <w:r>
              <w:rPr>
                <w:rFonts w:ascii="Verdana" w:hAnsi="Verdana" w:cs="Tahoma"/>
                <w:sz w:val="18"/>
                <w:szCs w:val="18"/>
              </w:rPr>
              <w:t>47.000</w:t>
            </w:r>
          </w:p>
        </w:tc>
        <w:tc>
          <w:tcPr>
            <w:tcW w:w="883" w:type="dxa"/>
          </w:tcPr>
          <w:p w14:paraId="74122907" w14:textId="77777777" w:rsidR="005F1241" w:rsidRPr="005F1241" w:rsidRDefault="005F1241" w:rsidP="005F1241">
            <w:pPr>
              <w:jc w:val="center"/>
              <w:rPr>
                <w:rFonts w:ascii="Verdana" w:hAnsi="Verdana" w:cs="Tahoma"/>
                <w:sz w:val="18"/>
                <w:szCs w:val="18"/>
              </w:rPr>
            </w:pPr>
            <w:r>
              <w:rPr>
                <w:rFonts w:ascii="Verdana" w:hAnsi="Verdana" w:cs="Tahoma"/>
                <w:sz w:val="18"/>
                <w:szCs w:val="18"/>
              </w:rPr>
              <w:t>904</w:t>
            </w:r>
          </w:p>
        </w:tc>
        <w:tc>
          <w:tcPr>
            <w:tcW w:w="925" w:type="dxa"/>
          </w:tcPr>
          <w:p w14:paraId="77BCEB86" w14:textId="77777777" w:rsidR="005F1241" w:rsidRPr="005F1241" w:rsidRDefault="005F1241" w:rsidP="005F1241">
            <w:pPr>
              <w:jc w:val="center"/>
              <w:rPr>
                <w:rFonts w:ascii="Verdana" w:hAnsi="Verdana" w:cs="Tahoma"/>
                <w:sz w:val="18"/>
                <w:szCs w:val="18"/>
              </w:rPr>
            </w:pPr>
            <w:r>
              <w:rPr>
                <w:rFonts w:ascii="Verdana" w:hAnsi="Verdana" w:cs="Tahoma"/>
                <w:sz w:val="18"/>
                <w:szCs w:val="18"/>
              </w:rPr>
              <w:t>10.702</w:t>
            </w:r>
          </w:p>
        </w:tc>
        <w:tc>
          <w:tcPr>
            <w:tcW w:w="883" w:type="dxa"/>
          </w:tcPr>
          <w:p w14:paraId="25A468CB" w14:textId="77777777" w:rsidR="005F1241" w:rsidRPr="005F1241" w:rsidRDefault="005F1241" w:rsidP="005F1241">
            <w:pPr>
              <w:jc w:val="center"/>
              <w:rPr>
                <w:rFonts w:ascii="Verdana" w:hAnsi="Verdana" w:cs="Tahoma"/>
                <w:sz w:val="18"/>
                <w:szCs w:val="18"/>
              </w:rPr>
            </w:pPr>
            <w:r>
              <w:rPr>
                <w:rFonts w:ascii="Verdana" w:hAnsi="Verdana" w:cs="Tahoma"/>
                <w:sz w:val="18"/>
                <w:szCs w:val="18"/>
              </w:rPr>
              <w:t>6-8</w:t>
            </w:r>
          </w:p>
        </w:tc>
        <w:tc>
          <w:tcPr>
            <w:tcW w:w="883" w:type="dxa"/>
          </w:tcPr>
          <w:p w14:paraId="2F5509FD" w14:textId="77777777" w:rsidR="005F1241" w:rsidRPr="005F1241" w:rsidRDefault="005F1241" w:rsidP="005F1241">
            <w:pPr>
              <w:jc w:val="both"/>
              <w:rPr>
                <w:rFonts w:ascii="Verdana" w:hAnsi="Verdana" w:cs="Tahoma"/>
                <w:sz w:val="18"/>
                <w:szCs w:val="18"/>
              </w:rPr>
            </w:pPr>
            <w:r w:rsidRPr="005F1241">
              <w:rPr>
                <w:rFonts w:ascii="Verdana" w:hAnsi="Verdana" w:cs="Arial"/>
                <w:sz w:val="18"/>
                <w:szCs w:val="18"/>
              </w:rPr>
              <w:t>&lt;</w:t>
            </w:r>
            <w:r>
              <w:rPr>
                <w:rFonts w:ascii="Verdana" w:hAnsi="Verdana" w:cs="Arial"/>
                <w:sz w:val="18"/>
                <w:szCs w:val="18"/>
              </w:rPr>
              <w:t>20</w:t>
            </w:r>
          </w:p>
        </w:tc>
      </w:tr>
    </w:tbl>
    <w:p w14:paraId="2E5A1AE6" w14:textId="77777777" w:rsidR="00F85BAD" w:rsidRPr="005F1241" w:rsidRDefault="00F85BAD" w:rsidP="00AE38FB">
      <w:pPr>
        <w:jc w:val="both"/>
        <w:rPr>
          <w:rFonts w:ascii="Verdana" w:hAnsi="Verdana" w:cs="Tahoma"/>
          <w:sz w:val="18"/>
          <w:szCs w:val="18"/>
        </w:rPr>
      </w:pPr>
    </w:p>
    <w:p w14:paraId="51C6A5DF" w14:textId="77777777" w:rsidR="005C7B90" w:rsidRDefault="005C7B90" w:rsidP="00827EBF">
      <w:pPr>
        <w:ind w:firstLine="708"/>
        <w:jc w:val="both"/>
        <w:rPr>
          <w:rFonts w:ascii="Verdana" w:hAnsi="Verdana" w:cs="Tahoma"/>
        </w:rPr>
      </w:pPr>
      <w:r>
        <w:rPr>
          <w:rFonts w:ascii="Verdana" w:hAnsi="Verdana" w:cs="Tahoma"/>
        </w:rPr>
        <w:t>A este respecto, la RCA N°465/2013 especifica que la modificación de proyecto no consideraba modificar los parámetros de diseño aprobados por la RCA N°385/2007, esto es, el punto de descarga, ni aumentos de caudal a tratar ni tampoco el caudal de descarga.</w:t>
      </w:r>
    </w:p>
    <w:p w14:paraId="4CD63E51" w14:textId="77777777" w:rsidR="00024CF0" w:rsidRPr="006F1260" w:rsidRDefault="00024CF0" w:rsidP="00827EBF">
      <w:pPr>
        <w:ind w:firstLine="708"/>
        <w:jc w:val="both"/>
        <w:rPr>
          <w:rFonts w:ascii="Verdana" w:hAnsi="Verdana"/>
          <w:b/>
          <w:u w:val="single"/>
        </w:rPr>
      </w:pPr>
      <w:r w:rsidRPr="006F1260">
        <w:rPr>
          <w:rFonts w:ascii="Verdana" w:hAnsi="Verdana" w:cs="Tahoma"/>
        </w:rPr>
        <w:t>De acuerdo a lo anterior,</w:t>
      </w:r>
      <w:r w:rsidRPr="006F1260">
        <w:rPr>
          <w:rFonts w:ascii="Verdana" w:hAnsi="Verdana" w:cs="Tahoma"/>
          <w:b/>
        </w:rPr>
        <w:t xml:space="preserve"> </w:t>
      </w:r>
      <w:r w:rsidRPr="006F1260">
        <w:rPr>
          <w:rFonts w:ascii="Verdana" w:hAnsi="Verdana"/>
          <w:b/>
        </w:rPr>
        <w:t xml:space="preserve">el </w:t>
      </w:r>
      <w:r w:rsidRPr="006F1260">
        <w:rPr>
          <w:rFonts w:ascii="Verdana" w:hAnsi="Verdana"/>
          <w:b/>
          <w:u w:val="single"/>
        </w:rPr>
        <w:t>caudal promedio es de 10.000 m³/día y el caudal máximo es de 11.832 m³/día.</w:t>
      </w:r>
    </w:p>
    <w:p w14:paraId="52218F41" w14:textId="77777777" w:rsidR="005C7B90" w:rsidRDefault="005C7B90" w:rsidP="006F1260">
      <w:pPr>
        <w:jc w:val="both"/>
        <w:rPr>
          <w:rFonts w:ascii="Verdana" w:hAnsi="Verdana"/>
        </w:rPr>
      </w:pPr>
      <w:r w:rsidRPr="006F1260">
        <w:rPr>
          <w:rFonts w:ascii="Verdana" w:hAnsi="Verdana"/>
          <w:b/>
        </w:rPr>
        <w:t>2.</w:t>
      </w:r>
      <w:r>
        <w:rPr>
          <w:rFonts w:ascii="Verdana" w:hAnsi="Verdana"/>
        </w:rPr>
        <w:tab/>
      </w:r>
      <w:r w:rsidRPr="006F1260">
        <w:rPr>
          <w:rFonts w:ascii="Verdana" w:hAnsi="Verdana"/>
          <w:u w:val="single"/>
        </w:rPr>
        <w:t>Referencia</w:t>
      </w:r>
      <w:r w:rsidR="006F1260">
        <w:rPr>
          <w:rFonts w:ascii="Verdana" w:hAnsi="Verdana"/>
          <w:u w:val="single"/>
        </w:rPr>
        <w:t xml:space="preserve"> confusa</w:t>
      </w:r>
      <w:r w:rsidRPr="006F1260">
        <w:rPr>
          <w:rFonts w:ascii="Verdana" w:hAnsi="Verdana"/>
          <w:u w:val="single"/>
        </w:rPr>
        <w:t xml:space="preserve"> a caudal en caso de contingencia.</w:t>
      </w:r>
    </w:p>
    <w:p w14:paraId="6C8184AE" w14:textId="77777777" w:rsidR="00827EBF" w:rsidRDefault="005C7B90" w:rsidP="005C7B90">
      <w:pPr>
        <w:ind w:firstLine="708"/>
        <w:jc w:val="both"/>
        <w:rPr>
          <w:rFonts w:ascii="Verdana" w:hAnsi="Verdana"/>
        </w:rPr>
      </w:pPr>
      <w:r>
        <w:rPr>
          <w:rFonts w:ascii="Verdana" w:hAnsi="Verdana"/>
        </w:rPr>
        <w:t xml:space="preserve">Actualmente, </w:t>
      </w:r>
      <w:r w:rsidR="00827EBF">
        <w:rPr>
          <w:rFonts w:ascii="Verdana" w:hAnsi="Verdana"/>
        </w:rPr>
        <w:t xml:space="preserve">la RCA N°465/2013, en el numeral </w:t>
      </w:r>
      <w:r w:rsidR="00827EBF">
        <w:rPr>
          <w:rFonts w:ascii="Verdana" w:hAnsi="Verdana"/>
          <w:b/>
        </w:rPr>
        <w:t>3.2.2</w:t>
      </w:r>
      <w:r w:rsidR="00827EBF">
        <w:rPr>
          <w:rFonts w:ascii="Verdana" w:hAnsi="Verdana"/>
        </w:rPr>
        <w:t xml:space="preserve">, </w:t>
      </w:r>
      <w:r w:rsidR="001F4CAA">
        <w:rPr>
          <w:rFonts w:ascii="Verdana" w:hAnsi="Verdana"/>
        </w:rPr>
        <w:t>denominado “</w:t>
      </w:r>
      <w:r w:rsidR="00827EBF">
        <w:rPr>
          <w:rFonts w:ascii="Verdana" w:hAnsi="Verdana"/>
          <w:b/>
        </w:rPr>
        <w:t>Plan de Contingencia planta de riles</w:t>
      </w:r>
      <w:r w:rsidR="001F4CAA">
        <w:rPr>
          <w:rFonts w:ascii="Verdana" w:hAnsi="Verdana"/>
          <w:b/>
        </w:rPr>
        <w:t>”</w:t>
      </w:r>
      <w:r w:rsidR="00827EBF">
        <w:rPr>
          <w:rFonts w:ascii="Verdana" w:hAnsi="Verdana"/>
        </w:rPr>
        <w:t xml:space="preserve">, contempla en </w:t>
      </w:r>
      <w:r w:rsidR="001F4CAA">
        <w:rPr>
          <w:rFonts w:ascii="Verdana" w:hAnsi="Verdana"/>
        </w:rPr>
        <w:t xml:space="preserve">su </w:t>
      </w:r>
      <w:r w:rsidR="00827EBF">
        <w:rPr>
          <w:rFonts w:ascii="Verdana" w:hAnsi="Verdana"/>
        </w:rPr>
        <w:t>párrafo</w:t>
      </w:r>
      <w:r w:rsidR="001F4CAA">
        <w:rPr>
          <w:rFonts w:ascii="Verdana" w:hAnsi="Verdana"/>
        </w:rPr>
        <w:t xml:space="preserve"> 4°</w:t>
      </w:r>
      <w:r w:rsidR="00827EBF">
        <w:rPr>
          <w:rFonts w:ascii="Verdana" w:hAnsi="Verdana"/>
        </w:rPr>
        <w:t xml:space="preserve"> lo siguiente:</w:t>
      </w:r>
    </w:p>
    <w:p w14:paraId="3FCBFFC5" w14:textId="77777777" w:rsidR="00024CF0" w:rsidRDefault="00827EBF" w:rsidP="006F1260">
      <w:pPr>
        <w:ind w:left="708" w:right="1008"/>
        <w:jc w:val="both"/>
        <w:rPr>
          <w:rFonts w:ascii="Verdana" w:hAnsi="Verdana"/>
        </w:rPr>
      </w:pPr>
      <w:r>
        <w:rPr>
          <w:rFonts w:ascii="Verdana" w:hAnsi="Verdana"/>
        </w:rPr>
        <w:t>“</w:t>
      </w:r>
      <w:r w:rsidRPr="00D94161">
        <w:rPr>
          <w:rFonts w:ascii="Verdana" w:hAnsi="Verdana"/>
          <w:i/>
        </w:rPr>
        <w:t xml:space="preserve">Por otra parte, para el periodo de verano donde se destaca </w:t>
      </w:r>
      <w:r w:rsidRPr="006F1260">
        <w:rPr>
          <w:rFonts w:ascii="Verdana" w:hAnsi="Verdana"/>
          <w:b/>
          <w:i/>
          <w:u w:val="single"/>
        </w:rPr>
        <w:t>el nivel más alto de caudal de la Planta correspondiente a 9.500 m³/d</w:t>
      </w:r>
      <w:r w:rsidRPr="00D94161">
        <w:rPr>
          <w:rFonts w:ascii="Verdana" w:hAnsi="Verdana"/>
          <w:i/>
        </w:rPr>
        <w:t xml:space="preserve">, el titular </w:t>
      </w:r>
      <w:r w:rsidRPr="00D94161">
        <w:rPr>
          <w:rFonts w:ascii="Verdana" w:hAnsi="Verdana"/>
          <w:i/>
        </w:rPr>
        <w:lastRenderedPageBreak/>
        <w:t>se compromete a realizar trabajos en las instalaciones de la PTR, exclusivamente en el reactor aeróbico de 14.000 m³, incorporando recubrimientos de HDPE en lámina que proporcionarían una alta fuerza tensible, resistencia química con una excelente rigidez y aportarían propiedades de baja temperatura para que la contención sea altamente segura. De este modo, las medidas antes mencionadas evitarán cualquier efecto de detrimento en la calidad del recurso hídrico ocasionado escurrimiento del efluente desde el reactor</w:t>
      </w:r>
      <w:r>
        <w:rPr>
          <w:rFonts w:ascii="Verdana" w:hAnsi="Verdana"/>
        </w:rPr>
        <w:t xml:space="preserve">.” </w:t>
      </w:r>
    </w:p>
    <w:p w14:paraId="10200C73" w14:textId="77777777" w:rsidR="00B65D3C" w:rsidRDefault="00B65D3C" w:rsidP="006F1260">
      <w:pPr>
        <w:ind w:right="15" w:firstLine="708"/>
        <w:jc w:val="both"/>
        <w:rPr>
          <w:rFonts w:ascii="Verdana" w:hAnsi="Verdana"/>
        </w:rPr>
      </w:pPr>
      <w:r>
        <w:rPr>
          <w:rFonts w:ascii="Verdana" w:hAnsi="Verdana"/>
        </w:rPr>
        <w:t>Sin embargo, es</w:t>
      </w:r>
      <w:r w:rsidR="006F1260">
        <w:rPr>
          <w:rFonts w:ascii="Verdana" w:hAnsi="Verdana"/>
        </w:rPr>
        <w:t>t</w:t>
      </w:r>
      <w:r>
        <w:rPr>
          <w:rFonts w:ascii="Verdana" w:hAnsi="Verdana"/>
        </w:rPr>
        <w:t>a referencia es</w:t>
      </w:r>
      <w:r w:rsidR="00BD7072">
        <w:rPr>
          <w:rFonts w:ascii="Verdana" w:hAnsi="Verdana"/>
        </w:rPr>
        <w:t xml:space="preserve"> derechamente incorrecta</w:t>
      </w:r>
      <w:r>
        <w:rPr>
          <w:rFonts w:ascii="Verdana" w:hAnsi="Verdana"/>
        </w:rPr>
        <w:t xml:space="preserve"> e induce a error, ya que no corresponde a los caudales aprobados.</w:t>
      </w:r>
    </w:p>
    <w:p w14:paraId="388A5020" w14:textId="77777777" w:rsidR="00B65D3C" w:rsidRDefault="0046009E" w:rsidP="006F1260">
      <w:pPr>
        <w:ind w:right="15" w:firstLine="708"/>
        <w:jc w:val="both"/>
        <w:rPr>
          <w:rFonts w:ascii="Verdana" w:hAnsi="Verdana"/>
        </w:rPr>
      </w:pPr>
      <w:r>
        <w:rPr>
          <w:rFonts w:ascii="Verdana" w:hAnsi="Verdana"/>
        </w:rPr>
        <w:t>La primera vez que se menciona el caudal de</w:t>
      </w:r>
      <w:r w:rsidR="00B65D3C">
        <w:rPr>
          <w:rFonts w:ascii="Verdana" w:hAnsi="Verdana"/>
        </w:rPr>
        <w:t xml:space="preserve"> 9.500 m3 a que hace referencia dicho párrafo, </w:t>
      </w:r>
      <w:r>
        <w:rPr>
          <w:rFonts w:ascii="Verdana" w:hAnsi="Verdana"/>
        </w:rPr>
        <w:t>es</w:t>
      </w:r>
      <w:r w:rsidR="00B65D3C">
        <w:rPr>
          <w:rFonts w:ascii="Verdana" w:hAnsi="Verdana"/>
        </w:rPr>
        <w:t xml:space="preserve"> en la Adenda 1 de la “DIA Regularización y Mejoramiento del Sistema de Tratamiento de RIL</w:t>
      </w:r>
      <w:r w:rsidR="00507864">
        <w:rPr>
          <w:rFonts w:ascii="Verdana" w:hAnsi="Verdana"/>
        </w:rPr>
        <w:t>E</w:t>
      </w:r>
      <w:r w:rsidR="00B65D3C">
        <w:rPr>
          <w:rFonts w:ascii="Verdana" w:hAnsi="Verdana"/>
        </w:rPr>
        <w:t>S Aconcagua Foods”, de abril de 2013.</w:t>
      </w:r>
    </w:p>
    <w:p w14:paraId="2D30A5E1" w14:textId="77777777" w:rsidR="00B65D3C" w:rsidRDefault="00B65D3C" w:rsidP="006F1260">
      <w:pPr>
        <w:ind w:right="15" w:firstLine="708"/>
        <w:jc w:val="both"/>
        <w:rPr>
          <w:rFonts w:ascii="Verdana" w:hAnsi="Verdana"/>
        </w:rPr>
      </w:pPr>
      <w:r>
        <w:rPr>
          <w:rFonts w:ascii="Verdana" w:hAnsi="Verdana"/>
        </w:rPr>
        <w:t>En dicho texto a la observac</w:t>
      </w:r>
      <w:r w:rsidR="006F1260">
        <w:rPr>
          <w:rFonts w:ascii="Verdana" w:hAnsi="Verdana"/>
        </w:rPr>
        <w:t xml:space="preserve">ión levantada por </w:t>
      </w:r>
      <w:r w:rsidR="002D033C">
        <w:rPr>
          <w:rFonts w:ascii="Verdana" w:hAnsi="Verdana"/>
        </w:rPr>
        <w:t>la Dirección General de Aguas (“DGA”)</w:t>
      </w:r>
      <w:r w:rsidR="006F1260">
        <w:rPr>
          <w:rFonts w:ascii="Verdana" w:hAnsi="Verdana"/>
        </w:rPr>
        <w:t xml:space="preserve"> que reza</w:t>
      </w:r>
      <w:r>
        <w:rPr>
          <w:rFonts w:ascii="Verdana" w:hAnsi="Verdana"/>
        </w:rPr>
        <w:t xml:space="preserve"> “Indicar qué efectos ocasionará la descarga en caso de falla del sistema de tratamiento y las medadas contempladas por el titular para evitar un detrimento en la calidad del recurso hídrico”, la Adenda 1 contestó: “Se acoge la observación, indicando que para el caso de falla del sistema de tratamiento en el período de verano donde se destaca el nivel más alto de caudal de la Planta correspondiente a 9.500 m3/d, el titular se compromete a realizar trabajos en las instalaciones de la PTR, exclusivamente</w:t>
      </w:r>
      <w:r w:rsidR="00F0132A">
        <w:rPr>
          <w:rFonts w:ascii="Verdana" w:hAnsi="Verdana"/>
        </w:rPr>
        <w:t xml:space="preserve"> en el reactor aeróbico de 14.000 m3, incorporando recubrimientos de HDPE en lámina que proporcionarían una alta fuerza </w:t>
      </w:r>
      <w:r w:rsidR="00596428">
        <w:rPr>
          <w:rFonts w:ascii="Verdana" w:hAnsi="Verdana"/>
        </w:rPr>
        <w:t>t</w:t>
      </w:r>
      <w:r w:rsidR="00F0132A">
        <w:rPr>
          <w:rFonts w:ascii="Verdana" w:hAnsi="Verdana"/>
        </w:rPr>
        <w:t>ensible, resistencia química con una excelente rigidez y aportarían propiedades de baja temperatura para que la contención sea altamente segura. De este modo, las m</w:t>
      </w:r>
      <w:r w:rsidR="006F1260">
        <w:rPr>
          <w:rFonts w:ascii="Verdana" w:hAnsi="Verdana"/>
        </w:rPr>
        <w:t>edidas antes mencionadas evitará</w:t>
      </w:r>
      <w:r w:rsidR="00F0132A">
        <w:rPr>
          <w:rFonts w:ascii="Verdana" w:hAnsi="Verdana"/>
        </w:rPr>
        <w:t>n cualquier efecto de detrimento en la calida</w:t>
      </w:r>
      <w:r w:rsidR="00C11000">
        <w:rPr>
          <w:rFonts w:ascii="Verdana" w:hAnsi="Verdana"/>
        </w:rPr>
        <w:t>d</w:t>
      </w:r>
      <w:r w:rsidR="00F0132A">
        <w:rPr>
          <w:rFonts w:ascii="Verdana" w:hAnsi="Verdana"/>
        </w:rPr>
        <w:t xml:space="preserve"> del recurso hídrico”.</w:t>
      </w:r>
    </w:p>
    <w:p w14:paraId="3E5882CD" w14:textId="67634554" w:rsidR="00F0132A" w:rsidRDefault="00F0132A" w:rsidP="006F1260">
      <w:pPr>
        <w:ind w:right="15" w:firstLine="708"/>
        <w:jc w:val="both"/>
        <w:rPr>
          <w:rFonts w:ascii="Verdana" w:hAnsi="Verdana"/>
        </w:rPr>
      </w:pPr>
      <w:r>
        <w:rPr>
          <w:rFonts w:ascii="Verdana" w:hAnsi="Verdana"/>
        </w:rPr>
        <w:t xml:space="preserve">Sin embargo, esta frase, cuyo </w:t>
      </w:r>
      <w:r w:rsidR="000721A3">
        <w:rPr>
          <w:rFonts w:ascii="Verdana" w:hAnsi="Verdana"/>
        </w:rPr>
        <w:t xml:space="preserve">parámetro de caudal </w:t>
      </w:r>
      <w:r>
        <w:rPr>
          <w:rFonts w:ascii="Verdana" w:hAnsi="Verdana"/>
        </w:rPr>
        <w:t xml:space="preserve">indicado </w:t>
      </w:r>
      <w:r w:rsidR="0046009E">
        <w:rPr>
          <w:rFonts w:ascii="Verdana" w:hAnsi="Verdana"/>
        </w:rPr>
        <w:t xml:space="preserve">ya </w:t>
      </w:r>
      <w:r>
        <w:rPr>
          <w:rFonts w:ascii="Verdana" w:hAnsi="Verdana"/>
        </w:rPr>
        <w:t>es erróneo, fue descontextualizada en el Informe Consolidado de la Evaluación de Impacto Ambiental, inserta dentro del párrafo “Plan de Contingencia”, y con un encabezado que induce a confusión.</w:t>
      </w:r>
    </w:p>
    <w:p w14:paraId="3CF994C0" w14:textId="0FB4DD2E" w:rsidR="00596428" w:rsidRDefault="00596428" w:rsidP="006F1260">
      <w:pPr>
        <w:ind w:right="15"/>
        <w:jc w:val="both"/>
        <w:rPr>
          <w:rFonts w:ascii="Verdana" w:hAnsi="Verdana"/>
        </w:rPr>
      </w:pPr>
      <w:r>
        <w:rPr>
          <w:rFonts w:ascii="Verdana" w:hAnsi="Verdana"/>
        </w:rPr>
        <w:tab/>
        <w:t xml:space="preserve">Este aspecto regulado en la RCA N°465/2013 no había sido observado por mi representada ni por los entes fiscalizadores hasta la temporada de </w:t>
      </w:r>
      <w:r w:rsidR="006F1260">
        <w:rPr>
          <w:rFonts w:ascii="Verdana" w:hAnsi="Verdana"/>
        </w:rPr>
        <w:t>operación</w:t>
      </w:r>
      <w:r>
        <w:rPr>
          <w:rFonts w:ascii="Verdana" w:hAnsi="Verdana"/>
        </w:rPr>
        <w:t xml:space="preserve"> 2019</w:t>
      </w:r>
      <w:r>
        <w:rPr>
          <w:rStyle w:val="Refdenotaalpie"/>
          <w:rFonts w:ascii="Verdana" w:hAnsi="Verdana"/>
        </w:rPr>
        <w:footnoteReference w:id="2"/>
      </w:r>
      <w:r>
        <w:rPr>
          <w:rFonts w:ascii="Verdana" w:hAnsi="Verdana"/>
        </w:rPr>
        <w:t>.</w:t>
      </w:r>
    </w:p>
    <w:p w14:paraId="4DCC5919" w14:textId="77777777" w:rsidR="00596428" w:rsidRDefault="00596428" w:rsidP="006F1260">
      <w:pPr>
        <w:ind w:right="15"/>
        <w:jc w:val="both"/>
        <w:rPr>
          <w:rFonts w:ascii="Verdana" w:hAnsi="Verdana"/>
        </w:rPr>
      </w:pPr>
      <w:r>
        <w:rPr>
          <w:rFonts w:ascii="Verdana" w:hAnsi="Verdana"/>
        </w:rPr>
        <w:tab/>
        <w:t>En efecto, a raíz de acusaciones infundadas qu</w:t>
      </w:r>
      <w:r w:rsidR="006F1260">
        <w:rPr>
          <w:rFonts w:ascii="Verdana" w:hAnsi="Verdana"/>
        </w:rPr>
        <w:t>e</w:t>
      </w:r>
      <w:r>
        <w:rPr>
          <w:rFonts w:ascii="Verdana" w:hAnsi="Verdana"/>
        </w:rPr>
        <w:t xml:space="preserve"> están siendo controvertidas en las instancias administrativas y judiciales pertinentes, se realizaron dos fiscalizaciones por parte de dos autoridades administrativas:</w:t>
      </w:r>
    </w:p>
    <w:p w14:paraId="3382FBA2" w14:textId="77777777" w:rsidR="00596428" w:rsidRDefault="00596428" w:rsidP="006F1260">
      <w:pPr>
        <w:ind w:right="15"/>
        <w:jc w:val="both"/>
        <w:rPr>
          <w:rFonts w:ascii="Verdana" w:hAnsi="Verdana"/>
        </w:rPr>
      </w:pPr>
      <w:r w:rsidRPr="006F1260">
        <w:rPr>
          <w:rFonts w:ascii="Verdana" w:hAnsi="Verdana"/>
          <w:b/>
        </w:rPr>
        <w:lastRenderedPageBreak/>
        <w:t>a)</w:t>
      </w:r>
      <w:r>
        <w:rPr>
          <w:rFonts w:ascii="Verdana" w:hAnsi="Verdana"/>
        </w:rPr>
        <w:tab/>
        <w:t>Una de ellas fue la Secretaría Regional Ministerial de Salud (“Seremi de Salud RM”), quien en su acta de fiscalización N°</w:t>
      </w:r>
      <w:r w:rsidR="0047693F">
        <w:rPr>
          <w:rFonts w:ascii="Verdana" w:hAnsi="Verdana"/>
        </w:rPr>
        <w:t xml:space="preserve">190607 de 30 de enero de 2019 </w:t>
      </w:r>
      <w:r w:rsidR="006F1260">
        <w:rPr>
          <w:rFonts w:ascii="Verdana" w:hAnsi="Verdana"/>
        </w:rPr>
        <w:t>en la que</w:t>
      </w:r>
      <w:r w:rsidR="0047693F">
        <w:rPr>
          <w:rFonts w:ascii="Verdana" w:hAnsi="Verdana"/>
        </w:rPr>
        <w:t xml:space="preserve">, de acuerdo a la información proporcionada, informó que la </w:t>
      </w:r>
      <w:r w:rsidR="00665ADB">
        <w:rPr>
          <w:rFonts w:ascii="Verdana" w:hAnsi="Verdana"/>
        </w:rPr>
        <w:t>PTR</w:t>
      </w:r>
      <w:r w:rsidR="0047693F">
        <w:rPr>
          <w:rFonts w:ascii="Verdana" w:hAnsi="Verdana"/>
        </w:rPr>
        <w:t xml:space="preserve"> se “encuentra operando casi a su máxima capacidad por diseño” (sic).</w:t>
      </w:r>
    </w:p>
    <w:p w14:paraId="42FC50BD" w14:textId="77777777" w:rsidR="0047693F" w:rsidRDefault="0047693F" w:rsidP="006F1260">
      <w:pPr>
        <w:ind w:right="15"/>
        <w:jc w:val="both"/>
        <w:rPr>
          <w:rFonts w:ascii="Verdana" w:hAnsi="Verdana"/>
        </w:rPr>
      </w:pPr>
      <w:r w:rsidRPr="006F1260">
        <w:rPr>
          <w:rFonts w:ascii="Verdana" w:hAnsi="Verdana"/>
          <w:b/>
        </w:rPr>
        <w:t>b)</w:t>
      </w:r>
      <w:r>
        <w:rPr>
          <w:rFonts w:ascii="Verdana" w:hAnsi="Verdana"/>
        </w:rPr>
        <w:t xml:space="preserve"> </w:t>
      </w:r>
      <w:r>
        <w:rPr>
          <w:rFonts w:ascii="Verdana" w:hAnsi="Verdana"/>
        </w:rPr>
        <w:tab/>
        <w:t>Luego, la Superintendencia de Medio Ambiente (“SMA”), por Resolución Exenta N°198 de 7 de febrero de 2019 ordenó la adopción de una serie de medidas provisionales, las que han sido íntegra y oportunamente cumplidas, basándose</w:t>
      </w:r>
      <w:r w:rsidR="004B6BF3">
        <w:rPr>
          <w:rFonts w:ascii="Verdana" w:hAnsi="Verdana"/>
        </w:rPr>
        <w:t>,</w:t>
      </w:r>
      <w:r>
        <w:rPr>
          <w:rFonts w:ascii="Verdana" w:hAnsi="Verdana"/>
        </w:rPr>
        <w:t xml:space="preserve"> entre otros fundamentos</w:t>
      </w:r>
      <w:r w:rsidR="004B6BF3">
        <w:rPr>
          <w:rFonts w:ascii="Verdana" w:hAnsi="Verdana"/>
        </w:rPr>
        <w:t>,</w:t>
      </w:r>
      <w:r>
        <w:rPr>
          <w:rFonts w:ascii="Verdana" w:hAnsi="Verdana"/>
        </w:rPr>
        <w:t xml:space="preserve"> en un supuesto exceso de los caudales de en</w:t>
      </w:r>
      <w:r w:rsidR="004B6BF3">
        <w:rPr>
          <w:rFonts w:ascii="Verdana" w:hAnsi="Verdana"/>
        </w:rPr>
        <w:t xml:space="preserve">trada de la </w:t>
      </w:r>
      <w:r w:rsidR="00665ADB">
        <w:rPr>
          <w:rFonts w:ascii="Verdana" w:hAnsi="Verdana"/>
        </w:rPr>
        <w:t>PTR, a razón de superar los 9.500 m3/d</w:t>
      </w:r>
      <w:r w:rsidR="004B6BF3">
        <w:rPr>
          <w:rFonts w:ascii="Verdana" w:hAnsi="Verdana"/>
        </w:rPr>
        <w:t xml:space="preserve">; argumento extraído del mencionado numeral </w:t>
      </w:r>
      <w:r w:rsidR="004B6BF3" w:rsidRPr="006F1260">
        <w:rPr>
          <w:rFonts w:ascii="Verdana" w:hAnsi="Verdana"/>
        </w:rPr>
        <w:t>3.2.2 de la RCA N°465/2013</w:t>
      </w:r>
      <w:r w:rsidR="004B6BF3">
        <w:rPr>
          <w:rFonts w:ascii="Verdana" w:hAnsi="Verdana"/>
        </w:rPr>
        <w:t>.</w:t>
      </w:r>
    </w:p>
    <w:p w14:paraId="64B24929" w14:textId="77777777" w:rsidR="004B6BF3" w:rsidRDefault="004B6BF3" w:rsidP="006F1260">
      <w:pPr>
        <w:ind w:right="15"/>
        <w:jc w:val="both"/>
        <w:rPr>
          <w:rFonts w:ascii="Verdana" w:hAnsi="Verdana"/>
        </w:rPr>
      </w:pPr>
      <w:r>
        <w:rPr>
          <w:rFonts w:ascii="Verdana" w:hAnsi="Verdana"/>
        </w:rPr>
        <w:tab/>
        <w:t>La SMA señala expresamente: “La planta de tratamiento de RILES se encuentra operando por sobre el caudal de afluente establecido en la RCA N°465/2013, correspondiente a 9.500 m3/d, llegando incluso durante enero a 10.500 m3/d.”</w:t>
      </w:r>
    </w:p>
    <w:p w14:paraId="26AD9651" w14:textId="77777777" w:rsidR="004B6BF3" w:rsidRDefault="004B6BF3" w:rsidP="006F1260">
      <w:pPr>
        <w:ind w:right="15"/>
        <w:jc w:val="both"/>
        <w:rPr>
          <w:rFonts w:ascii="Verdana" w:hAnsi="Verdana"/>
        </w:rPr>
      </w:pPr>
      <w:r>
        <w:rPr>
          <w:rFonts w:ascii="Verdana" w:hAnsi="Verdana"/>
        </w:rPr>
        <w:tab/>
        <w:t xml:space="preserve">Lo anterior ha originado el inicio de un procedimiento sancionatorio incoado por la SMA (Rol D-033-3019), donde precisamente uno de los cargos que se formula a mi representada con entidad “grave” es el “superar el valor de caudal operacional de la Planta de Tratamiento de Riles en período peak” citando como fundamento del cargo el referido numeral 3.2.2 de la RCA N°465/2013, esto es haber superado los 9.500 m3/d, no obstante el caudal promedio es de 10.000 m3/d y el caudal máximo de 11.832 m3/d. </w:t>
      </w:r>
    </w:p>
    <w:p w14:paraId="6C6C74E5" w14:textId="77777777" w:rsidR="00D94161" w:rsidRDefault="009E1D52" w:rsidP="00D94161">
      <w:pPr>
        <w:jc w:val="both"/>
        <w:rPr>
          <w:rFonts w:ascii="Verdana" w:hAnsi="Verdana"/>
        </w:rPr>
      </w:pPr>
      <w:r>
        <w:rPr>
          <w:rFonts w:ascii="Verdana" w:hAnsi="Verdana"/>
          <w:b/>
        </w:rPr>
        <w:t>3</w:t>
      </w:r>
      <w:r w:rsidR="00D94161">
        <w:rPr>
          <w:rFonts w:ascii="Verdana" w:hAnsi="Verdana"/>
          <w:b/>
        </w:rPr>
        <w:t>.</w:t>
      </w:r>
      <w:r w:rsidR="00D94161">
        <w:rPr>
          <w:rFonts w:ascii="Verdana" w:hAnsi="Verdana"/>
        </w:rPr>
        <w:t xml:space="preserve"> </w:t>
      </w:r>
      <w:r w:rsidR="00D94161">
        <w:rPr>
          <w:rFonts w:ascii="Verdana" w:hAnsi="Verdana"/>
          <w:u w:val="single"/>
        </w:rPr>
        <w:t>Descripción de la modificación solicitada</w:t>
      </w:r>
    </w:p>
    <w:p w14:paraId="17CD5C5F" w14:textId="77777777" w:rsidR="0046009E" w:rsidRDefault="00D94161" w:rsidP="00D94161">
      <w:pPr>
        <w:jc w:val="both"/>
        <w:rPr>
          <w:rFonts w:ascii="Verdana" w:hAnsi="Verdana"/>
        </w:rPr>
      </w:pPr>
      <w:r>
        <w:rPr>
          <w:rFonts w:ascii="Verdana" w:hAnsi="Verdana"/>
        </w:rPr>
        <w:tab/>
      </w:r>
      <w:r w:rsidR="0046009E">
        <w:rPr>
          <w:rFonts w:ascii="Verdana" w:hAnsi="Verdana"/>
        </w:rPr>
        <w:t xml:space="preserve">La modificación que se solicita dice relación con la eliminación del </w:t>
      </w:r>
      <w:r w:rsidR="00B50C03">
        <w:rPr>
          <w:rFonts w:ascii="Verdana" w:hAnsi="Verdana"/>
        </w:rPr>
        <w:t xml:space="preserve">párrafo </w:t>
      </w:r>
      <w:r w:rsidR="00665ADB">
        <w:rPr>
          <w:rFonts w:ascii="Verdana" w:hAnsi="Verdana"/>
        </w:rPr>
        <w:t>4°</w:t>
      </w:r>
      <w:r w:rsidR="00B50C03">
        <w:rPr>
          <w:rFonts w:ascii="Verdana" w:hAnsi="Verdana"/>
        </w:rPr>
        <w:t xml:space="preserve"> del numeral 3.2.2 de la RCA N°465/2013.</w:t>
      </w:r>
    </w:p>
    <w:p w14:paraId="3C5D60A2" w14:textId="77777777" w:rsidR="00D94161" w:rsidRDefault="006916DF" w:rsidP="006F1260">
      <w:pPr>
        <w:ind w:firstLine="708"/>
        <w:jc w:val="both"/>
        <w:rPr>
          <w:rFonts w:ascii="Verdana" w:hAnsi="Verdana"/>
        </w:rPr>
      </w:pPr>
      <w:r>
        <w:rPr>
          <w:rFonts w:ascii="Verdana" w:hAnsi="Verdana"/>
        </w:rPr>
        <w:t xml:space="preserve">El proyecto original, sobre el cual se requiere realizar una modificación, y que hace necesaria </w:t>
      </w:r>
      <w:r w:rsidR="009E1D52">
        <w:rPr>
          <w:rFonts w:ascii="Verdana" w:hAnsi="Verdana"/>
        </w:rPr>
        <w:t xml:space="preserve">esta </w:t>
      </w:r>
      <w:r>
        <w:rPr>
          <w:rFonts w:ascii="Verdana" w:hAnsi="Verdana"/>
        </w:rPr>
        <w:t>consulta de pertinencia</w:t>
      </w:r>
      <w:r w:rsidR="00665ADB">
        <w:rPr>
          <w:rFonts w:ascii="Verdana" w:hAnsi="Verdana"/>
        </w:rPr>
        <w:t xml:space="preserve"> es el numeral 3.2.2</w:t>
      </w:r>
      <w:r w:rsidR="00EC341B">
        <w:rPr>
          <w:rFonts w:ascii="Verdana" w:hAnsi="Verdana"/>
        </w:rPr>
        <w:t xml:space="preserve"> de la RCA N°465/2013</w:t>
      </w:r>
      <w:r>
        <w:rPr>
          <w:rFonts w:ascii="Verdana" w:hAnsi="Verdana"/>
        </w:rPr>
        <w:t>,</w:t>
      </w:r>
      <w:r w:rsidR="00EC341B">
        <w:rPr>
          <w:rFonts w:ascii="Verdana" w:hAnsi="Verdana"/>
        </w:rPr>
        <w:t xml:space="preserve"> que</w:t>
      </w:r>
      <w:r>
        <w:rPr>
          <w:rFonts w:ascii="Verdana" w:hAnsi="Verdana"/>
        </w:rPr>
        <w:t xml:space="preserve"> </w:t>
      </w:r>
      <w:r w:rsidR="009E1D52">
        <w:rPr>
          <w:rFonts w:ascii="Verdana" w:hAnsi="Verdana"/>
        </w:rPr>
        <w:t>señala</w:t>
      </w:r>
      <w:r w:rsidR="002A112F">
        <w:rPr>
          <w:rFonts w:ascii="Verdana" w:hAnsi="Verdana"/>
        </w:rPr>
        <w:t xml:space="preserve"> en su párrafo 4°</w:t>
      </w:r>
      <w:r w:rsidR="009E1D52">
        <w:rPr>
          <w:rFonts w:ascii="Verdana" w:hAnsi="Verdana"/>
        </w:rPr>
        <w:t xml:space="preserve">, en una redacción </w:t>
      </w:r>
      <w:r w:rsidR="006733C1">
        <w:rPr>
          <w:rFonts w:ascii="Verdana" w:hAnsi="Verdana"/>
        </w:rPr>
        <w:t xml:space="preserve">y ubicación </w:t>
      </w:r>
      <w:r w:rsidR="009E1D52">
        <w:rPr>
          <w:rFonts w:ascii="Verdana" w:hAnsi="Verdana"/>
        </w:rPr>
        <w:t xml:space="preserve">confusa, que durante </w:t>
      </w:r>
      <w:r w:rsidR="008479A8">
        <w:rPr>
          <w:rFonts w:ascii="Verdana" w:hAnsi="Verdana"/>
        </w:rPr>
        <w:t xml:space="preserve">el período de verano </w:t>
      </w:r>
      <w:r w:rsidR="008479A8" w:rsidRPr="00665ADB">
        <w:rPr>
          <w:rFonts w:ascii="Verdana" w:hAnsi="Verdana"/>
          <w:i/>
        </w:rPr>
        <w:t>se registraría</w:t>
      </w:r>
      <w:r w:rsidR="009E1D52" w:rsidRPr="00665ADB">
        <w:rPr>
          <w:rFonts w:ascii="Verdana" w:hAnsi="Verdana"/>
          <w:i/>
        </w:rPr>
        <w:t xml:space="preserve"> </w:t>
      </w:r>
      <w:r w:rsidR="008479A8" w:rsidRPr="00665ADB">
        <w:rPr>
          <w:rFonts w:ascii="Verdana" w:hAnsi="Verdana"/>
          <w:i/>
        </w:rPr>
        <w:t xml:space="preserve">el nivel más alto de </w:t>
      </w:r>
      <w:r w:rsidRPr="00665ADB">
        <w:rPr>
          <w:rFonts w:ascii="Verdana" w:hAnsi="Verdana"/>
          <w:i/>
        </w:rPr>
        <w:t xml:space="preserve">caudal </w:t>
      </w:r>
      <w:r w:rsidR="008479A8" w:rsidRPr="00665ADB">
        <w:rPr>
          <w:rFonts w:ascii="Verdana" w:hAnsi="Verdana"/>
          <w:i/>
        </w:rPr>
        <w:t>correspondiente a</w:t>
      </w:r>
      <w:r w:rsidRPr="00665ADB">
        <w:rPr>
          <w:rFonts w:ascii="Verdana" w:hAnsi="Verdana"/>
          <w:i/>
        </w:rPr>
        <w:t xml:space="preserve"> 9.500 m³/d</w:t>
      </w:r>
      <w:r w:rsidR="008479A8">
        <w:rPr>
          <w:rFonts w:ascii="Verdana" w:hAnsi="Verdana"/>
        </w:rPr>
        <w:t>, lo que, como veremos</w:t>
      </w:r>
      <w:r w:rsidR="00EC341B">
        <w:rPr>
          <w:rFonts w:ascii="Verdana" w:hAnsi="Verdana"/>
        </w:rPr>
        <w:t>,</w:t>
      </w:r>
      <w:r w:rsidR="008479A8">
        <w:rPr>
          <w:rFonts w:ascii="Verdana" w:hAnsi="Verdana"/>
        </w:rPr>
        <w:t xml:space="preserve"> no tiene </w:t>
      </w:r>
      <w:r w:rsidR="00EC341B">
        <w:rPr>
          <w:rFonts w:ascii="Verdana" w:hAnsi="Verdana"/>
        </w:rPr>
        <w:t xml:space="preserve">sustento </w:t>
      </w:r>
      <w:r w:rsidR="00665ADB">
        <w:rPr>
          <w:rFonts w:ascii="Verdana" w:hAnsi="Verdana"/>
        </w:rPr>
        <w:t xml:space="preserve">lógico, </w:t>
      </w:r>
      <w:r w:rsidR="00EC341B">
        <w:rPr>
          <w:rFonts w:ascii="Verdana" w:hAnsi="Verdana"/>
        </w:rPr>
        <w:t>técnico ni empírico</w:t>
      </w:r>
      <w:r w:rsidR="006733C1">
        <w:rPr>
          <w:rFonts w:ascii="Verdana" w:hAnsi="Verdana"/>
        </w:rPr>
        <w:t xml:space="preserve"> </w:t>
      </w:r>
      <w:r w:rsidR="002A112F">
        <w:rPr>
          <w:rFonts w:ascii="Verdana" w:hAnsi="Verdana"/>
        </w:rPr>
        <w:t xml:space="preserve">constituyendo </w:t>
      </w:r>
      <w:r w:rsidR="006733C1">
        <w:rPr>
          <w:rFonts w:ascii="Verdana" w:hAnsi="Verdana"/>
        </w:rPr>
        <w:t xml:space="preserve">un error numérico que puede acarrear </w:t>
      </w:r>
      <w:r w:rsidR="002A112F">
        <w:rPr>
          <w:rFonts w:ascii="Verdana" w:hAnsi="Verdana"/>
        </w:rPr>
        <w:t xml:space="preserve">graves </w:t>
      </w:r>
      <w:r w:rsidR="006733C1">
        <w:rPr>
          <w:rFonts w:ascii="Verdana" w:hAnsi="Verdana"/>
        </w:rPr>
        <w:t>consecuencias</w:t>
      </w:r>
      <w:r>
        <w:rPr>
          <w:rFonts w:ascii="Verdana" w:hAnsi="Verdana"/>
        </w:rPr>
        <w:t xml:space="preserve">. </w:t>
      </w:r>
    </w:p>
    <w:p w14:paraId="65510290" w14:textId="77777777" w:rsidR="006916DF" w:rsidRDefault="006916DF" w:rsidP="006916DF">
      <w:pPr>
        <w:jc w:val="both"/>
        <w:rPr>
          <w:rFonts w:ascii="Verdana" w:hAnsi="Verdana"/>
        </w:rPr>
      </w:pPr>
      <w:r>
        <w:rPr>
          <w:rFonts w:ascii="Verdana" w:hAnsi="Verdana"/>
        </w:rPr>
        <w:tab/>
      </w:r>
      <w:r w:rsidR="00665ADB">
        <w:rPr>
          <w:rFonts w:ascii="Verdana" w:hAnsi="Verdana"/>
        </w:rPr>
        <w:t>T</w:t>
      </w:r>
      <w:r w:rsidR="008479A8">
        <w:rPr>
          <w:rFonts w:ascii="Verdana" w:hAnsi="Verdana"/>
        </w:rPr>
        <w:t>an confusa es la redacci</w:t>
      </w:r>
      <w:r w:rsidR="00EC341B">
        <w:rPr>
          <w:rFonts w:ascii="Verdana" w:hAnsi="Verdana"/>
        </w:rPr>
        <w:t>ón</w:t>
      </w:r>
      <w:r w:rsidR="008479A8">
        <w:rPr>
          <w:rFonts w:ascii="Verdana" w:hAnsi="Verdana"/>
        </w:rPr>
        <w:t xml:space="preserve"> que e</w:t>
      </w:r>
      <w:r w:rsidR="00EC341B">
        <w:rPr>
          <w:rFonts w:ascii="Verdana" w:hAnsi="Verdana"/>
        </w:rPr>
        <w:t xml:space="preserve">sta referencia a los 9.500 m3/d, </w:t>
      </w:r>
      <w:r w:rsidR="008479A8">
        <w:rPr>
          <w:rFonts w:ascii="Verdana" w:hAnsi="Verdana"/>
        </w:rPr>
        <w:t>al estar dentro del párrafo</w:t>
      </w:r>
      <w:r w:rsidRPr="006916DF">
        <w:rPr>
          <w:rFonts w:ascii="Verdana" w:hAnsi="Verdana"/>
        </w:rPr>
        <w:t xml:space="preserve"> “Plan de Contingencia”, </w:t>
      </w:r>
      <w:r w:rsidR="008479A8">
        <w:rPr>
          <w:rFonts w:ascii="Verdana" w:hAnsi="Verdana"/>
        </w:rPr>
        <w:t xml:space="preserve">pudiera llevar a concluir que </w:t>
      </w:r>
      <w:r w:rsidR="002A112F">
        <w:rPr>
          <w:rFonts w:ascii="Verdana" w:hAnsi="Verdana"/>
        </w:rPr>
        <w:t>la temporada de verano</w:t>
      </w:r>
      <w:r w:rsidR="006733C1">
        <w:rPr>
          <w:rFonts w:ascii="Verdana" w:hAnsi="Verdana"/>
        </w:rPr>
        <w:t xml:space="preserve"> es</w:t>
      </w:r>
      <w:r w:rsidR="002A112F">
        <w:rPr>
          <w:rFonts w:ascii="Verdana" w:hAnsi="Verdana"/>
        </w:rPr>
        <w:t xml:space="preserve">, en sí misma, </w:t>
      </w:r>
      <w:r w:rsidR="006733C1">
        <w:rPr>
          <w:rFonts w:ascii="Verdana" w:hAnsi="Verdana"/>
        </w:rPr>
        <w:t>considerada una “contingencia” que ameritaría adoptar las medidas que se establecen para esos casos</w:t>
      </w:r>
      <w:r w:rsidR="00DE5024">
        <w:rPr>
          <w:rFonts w:ascii="Verdana" w:hAnsi="Verdana"/>
        </w:rPr>
        <w:t>.</w:t>
      </w:r>
    </w:p>
    <w:p w14:paraId="6FDC34BD" w14:textId="77777777" w:rsidR="00EC341B" w:rsidRDefault="00EC341B" w:rsidP="006916DF">
      <w:pPr>
        <w:jc w:val="both"/>
        <w:rPr>
          <w:rFonts w:ascii="Verdana" w:hAnsi="Verdana"/>
        </w:rPr>
      </w:pPr>
      <w:r>
        <w:rPr>
          <w:rFonts w:ascii="Verdana" w:hAnsi="Verdana"/>
        </w:rPr>
        <w:tab/>
        <w:t xml:space="preserve">Sin embargo la continuación del párrafo </w:t>
      </w:r>
      <w:r w:rsidR="00394F62">
        <w:rPr>
          <w:rFonts w:ascii="Verdana" w:hAnsi="Verdana"/>
        </w:rPr>
        <w:t>parece contextualizar un poco más cuál fue la intención plasmada para mencionar ese caudal</w:t>
      </w:r>
      <w:r w:rsidR="006733C1">
        <w:rPr>
          <w:rFonts w:ascii="Verdana" w:hAnsi="Verdana"/>
        </w:rPr>
        <w:t>, aparentemente a una situación específica</w:t>
      </w:r>
      <w:r w:rsidR="00394F62">
        <w:rPr>
          <w:rFonts w:ascii="Verdana" w:hAnsi="Verdana"/>
        </w:rPr>
        <w:t>: realizar trabajo</w:t>
      </w:r>
      <w:r w:rsidR="006733C1">
        <w:rPr>
          <w:rFonts w:ascii="Verdana" w:hAnsi="Verdana"/>
        </w:rPr>
        <w:t>s</w:t>
      </w:r>
      <w:r w:rsidR="00394F62">
        <w:rPr>
          <w:rFonts w:ascii="Verdana" w:hAnsi="Verdana"/>
        </w:rPr>
        <w:t xml:space="preserve"> en la planta de tratamientos, especialmente en el reactor aeróbico de 14.000 m3, incorporando recubrimientos de HDPE en lámina</w:t>
      </w:r>
      <w:r w:rsidR="007F15BD">
        <w:rPr>
          <w:rFonts w:ascii="Verdana" w:hAnsi="Verdana"/>
        </w:rPr>
        <w:t xml:space="preserve"> y así evitar escurrimiento del efluente desde el reactor.</w:t>
      </w:r>
    </w:p>
    <w:p w14:paraId="6DE01C1C" w14:textId="77777777" w:rsidR="007F15BD" w:rsidRDefault="007F15BD" w:rsidP="006916DF">
      <w:pPr>
        <w:jc w:val="both"/>
        <w:rPr>
          <w:rFonts w:ascii="Verdana" w:hAnsi="Verdana"/>
        </w:rPr>
      </w:pPr>
      <w:r>
        <w:rPr>
          <w:rFonts w:ascii="Verdana" w:hAnsi="Verdana"/>
        </w:rPr>
        <w:lastRenderedPageBreak/>
        <w:tab/>
        <w:t xml:space="preserve">A continuación se esgrimen las razones por las cuales es necesario </w:t>
      </w:r>
      <w:r w:rsidR="006733C1">
        <w:rPr>
          <w:rFonts w:ascii="Verdana" w:hAnsi="Verdana"/>
        </w:rPr>
        <w:t>eliminar</w:t>
      </w:r>
      <w:r>
        <w:rPr>
          <w:rFonts w:ascii="Verdana" w:hAnsi="Verdana"/>
        </w:rPr>
        <w:t xml:space="preserve"> el párrafo </w:t>
      </w:r>
      <w:r w:rsidR="006733C1">
        <w:rPr>
          <w:rFonts w:ascii="Verdana" w:hAnsi="Verdana"/>
        </w:rPr>
        <w:t>4°</w:t>
      </w:r>
      <w:r>
        <w:rPr>
          <w:rFonts w:ascii="Verdana" w:hAnsi="Verdana"/>
        </w:rPr>
        <w:t xml:space="preserve"> del numeral 3.2.2 de la RCA N°465/2013, eliminando la referencia al caudal de 9.500 m3/d:</w:t>
      </w:r>
    </w:p>
    <w:p w14:paraId="49A35C47" w14:textId="77777777" w:rsidR="00741723" w:rsidRDefault="007F15BD" w:rsidP="006916DF">
      <w:pPr>
        <w:jc w:val="both"/>
        <w:rPr>
          <w:rFonts w:ascii="Verdana" w:hAnsi="Verdana"/>
        </w:rPr>
      </w:pPr>
      <w:r w:rsidRPr="006F1260">
        <w:rPr>
          <w:rFonts w:ascii="Verdana" w:hAnsi="Verdana"/>
          <w:b/>
        </w:rPr>
        <w:t>(i)</w:t>
      </w:r>
      <w:r w:rsidRPr="006F1260">
        <w:rPr>
          <w:rFonts w:ascii="Verdana" w:hAnsi="Verdana"/>
          <w:b/>
        </w:rPr>
        <w:tab/>
      </w:r>
      <w:r>
        <w:rPr>
          <w:rFonts w:ascii="Verdana" w:hAnsi="Verdana"/>
        </w:rPr>
        <w:t xml:space="preserve">Según lo aprobado por la RCA N°465/2013, el caudal máximo de operación según el diseño de la </w:t>
      </w:r>
      <w:r w:rsidR="006733C1">
        <w:rPr>
          <w:rFonts w:ascii="Verdana" w:hAnsi="Verdana"/>
        </w:rPr>
        <w:t>PTR</w:t>
      </w:r>
      <w:r>
        <w:rPr>
          <w:rFonts w:ascii="Verdana" w:hAnsi="Verdana"/>
        </w:rPr>
        <w:t xml:space="preserve"> es de 11.832 m3/d</w:t>
      </w:r>
      <w:r w:rsidR="00741723">
        <w:rPr>
          <w:rFonts w:ascii="Verdana" w:hAnsi="Verdana"/>
        </w:rPr>
        <w:t xml:space="preserve"> y su caudal promedio es de 10.000 m3/d.</w:t>
      </w:r>
    </w:p>
    <w:p w14:paraId="1B17DE3F" w14:textId="77777777" w:rsidR="00741723" w:rsidRDefault="00741723" w:rsidP="007F15BD">
      <w:pPr>
        <w:jc w:val="both"/>
        <w:rPr>
          <w:rFonts w:ascii="Verdana" w:hAnsi="Verdana"/>
        </w:rPr>
      </w:pPr>
      <w:r w:rsidRPr="006F1260">
        <w:rPr>
          <w:rFonts w:ascii="Verdana" w:hAnsi="Verdana"/>
          <w:b/>
        </w:rPr>
        <w:t>(ii)</w:t>
      </w:r>
      <w:r w:rsidRPr="006F1260">
        <w:rPr>
          <w:rFonts w:ascii="Verdana" w:hAnsi="Verdana"/>
          <w:b/>
        </w:rPr>
        <w:tab/>
      </w:r>
      <w:r>
        <w:rPr>
          <w:rFonts w:ascii="Verdana" w:hAnsi="Verdana"/>
        </w:rPr>
        <w:t xml:space="preserve">Por ello, el </w:t>
      </w:r>
      <w:r w:rsidRPr="006F1260">
        <w:rPr>
          <w:rFonts w:ascii="Verdana" w:hAnsi="Verdana"/>
          <w:b/>
          <w:u w:val="single"/>
        </w:rPr>
        <w:t>funcionamiento normal</w:t>
      </w:r>
      <w:r>
        <w:rPr>
          <w:rFonts w:ascii="Verdana" w:hAnsi="Verdana"/>
          <w:b/>
          <w:u w:val="single"/>
        </w:rPr>
        <w:t xml:space="preserve"> </w:t>
      </w:r>
      <w:r>
        <w:rPr>
          <w:rFonts w:ascii="Verdana" w:hAnsi="Verdana"/>
        </w:rPr>
        <w:t>de la Planta de Tratamiento de Riles para el cual fue diseñada, se verifica</w:t>
      </w:r>
      <w:r w:rsidR="006916DF" w:rsidRPr="007F15BD">
        <w:rPr>
          <w:rFonts w:ascii="Verdana" w:hAnsi="Verdana"/>
        </w:rPr>
        <w:t xml:space="preserve"> en</w:t>
      </w:r>
      <w:r>
        <w:rPr>
          <w:rFonts w:ascii="Verdana" w:hAnsi="Verdana"/>
        </w:rPr>
        <w:t>tre</w:t>
      </w:r>
      <w:r w:rsidR="006916DF" w:rsidRPr="007F15BD">
        <w:rPr>
          <w:rFonts w:ascii="Verdana" w:hAnsi="Verdana"/>
        </w:rPr>
        <w:t xml:space="preserve"> los meses de diciembre a </w:t>
      </w:r>
      <w:r>
        <w:rPr>
          <w:rFonts w:ascii="Verdana" w:hAnsi="Verdana"/>
        </w:rPr>
        <w:t>marzo de cada año</w:t>
      </w:r>
      <w:r w:rsidR="006733C1">
        <w:rPr>
          <w:rFonts w:ascii="Verdana" w:hAnsi="Verdana"/>
        </w:rPr>
        <w:t>, temporada estival</w:t>
      </w:r>
      <w:r>
        <w:rPr>
          <w:rFonts w:ascii="Verdana" w:hAnsi="Verdana"/>
        </w:rPr>
        <w:t>.</w:t>
      </w:r>
      <w:r w:rsidR="006916DF" w:rsidRPr="007F15BD">
        <w:rPr>
          <w:rFonts w:ascii="Verdana" w:hAnsi="Verdana"/>
        </w:rPr>
        <w:t xml:space="preserve"> </w:t>
      </w:r>
      <w:r>
        <w:rPr>
          <w:rFonts w:ascii="Verdana" w:hAnsi="Verdana"/>
        </w:rPr>
        <w:t>Lo “anormal” es el funcionamiento que se produce el resto del año donde la producción disminuye considerablemente.</w:t>
      </w:r>
      <w:r w:rsidR="006733C1">
        <w:rPr>
          <w:rFonts w:ascii="Verdana" w:hAnsi="Verdana"/>
        </w:rPr>
        <w:t xml:space="preserve"> De ahí que la temporada de verano no puede ser considerada una “contingencia”.</w:t>
      </w:r>
    </w:p>
    <w:p w14:paraId="7DB5D12D" w14:textId="77777777" w:rsidR="006916DF" w:rsidRDefault="00741723" w:rsidP="006916DF">
      <w:pPr>
        <w:jc w:val="both"/>
        <w:rPr>
          <w:rFonts w:ascii="Verdana" w:hAnsi="Verdana"/>
        </w:rPr>
      </w:pPr>
      <w:r w:rsidRPr="006F1260">
        <w:rPr>
          <w:rFonts w:ascii="Verdana" w:hAnsi="Verdana"/>
          <w:b/>
        </w:rPr>
        <w:t>(iii)</w:t>
      </w:r>
      <w:r w:rsidR="006916DF" w:rsidRPr="006F1260">
        <w:rPr>
          <w:rFonts w:ascii="Verdana" w:hAnsi="Verdana"/>
          <w:b/>
        </w:rPr>
        <w:tab/>
      </w:r>
      <w:r>
        <w:rPr>
          <w:rFonts w:ascii="Verdana" w:hAnsi="Verdana"/>
        </w:rPr>
        <w:t>Si entendemos el cuestionado párrafo en</w:t>
      </w:r>
      <w:r w:rsidR="00DE5024">
        <w:rPr>
          <w:rFonts w:ascii="Verdana" w:hAnsi="Verdana"/>
        </w:rPr>
        <w:t xml:space="preserve"> </w:t>
      </w:r>
      <w:r>
        <w:rPr>
          <w:rFonts w:ascii="Verdana" w:hAnsi="Verdana"/>
        </w:rPr>
        <w:t xml:space="preserve">el </w:t>
      </w:r>
      <w:r w:rsidR="00DE5024">
        <w:rPr>
          <w:rFonts w:ascii="Verdana" w:hAnsi="Verdana"/>
        </w:rPr>
        <w:t>sentido</w:t>
      </w:r>
      <w:r w:rsidR="006916DF" w:rsidRPr="006916DF">
        <w:rPr>
          <w:rFonts w:ascii="Verdana" w:hAnsi="Verdana"/>
        </w:rPr>
        <w:t xml:space="preserve"> que durante la temporada de verano el caudal máximo debe ser 9.500 m</w:t>
      </w:r>
      <w:r w:rsidR="00DE5024" w:rsidRPr="006916DF">
        <w:rPr>
          <w:rFonts w:ascii="Verdana" w:hAnsi="Verdana"/>
        </w:rPr>
        <w:t>³</w:t>
      </w:r>
      <w:r w:rsidR="006916DF" w:rsidRPr="006916DF">
        <w:rPr>
          <w:rFonts w:ascii="Verdana" w:hAnsi="Verdana"/>
        </w:rPr>
        <w:t xml:space="preserve">/d, </w:t>
      </w:r>
      <w:r>
        <w:rPr>
          <w:rFonts w:ascii="Verdana" w:hAnsi="Verdana"/>
        </w:rPr>
        <w:t>estaríamos sosteniendo</w:t>
      </w:r>
      <w:r w:rsidR="006916DF" w:rsidRPr="006916DF">
        <w:rPr>
          <w:rFonts w:ascii="Verdana" w:hAnsi="Verdana"/>
        </w:rPr>
        <w:t xml:space="preserve"> que en la temporada “normal” de funcionamiento la</w:t>
      </w:r>
      <w:r w:rsidR="00DE5024">
        <w:rPr>
          <w:rFonts w:ascii="Verdana" w:hAnsi="Verdana"/>
        </w:rPr>
        <w:t xml:space="preserve"> Planta de Tratamiento de Riles, esta </w:t>
      </w:r>
      <w:r w:rsidR="006916DF" w:rsidRPr="006916DF">
        <w:rPr>
          <w:rFonts w:ascii="Verdana" w:hAnsi="Verdana"/>
        </w:rPr>
        <w:t xml:space="preserve">debería solo tratar un caudal inferior incluso al promedio aprobado, lo que supondría que las mejoras tecnológicas realizadas y aprobadas ambientalmente no </w:t>
      </w:r>
      <w:r w:rsidR="00DE5024">
        <w:rPr>
          <w:rFonts w:ascii="Verdana" w:hAnsi="Verdana"/>
        </w:rPr>
        <w:t>estarían cumpliendo su objetivo.</w:t>
      </w:r>
    </w:p>
    <w:p w14:paraId="4326B7B0" w14:textId="77777777" w:rsidR="00DE5024" w:rsidRDefault="00741723" w:rsidP="006916DF">
      <w:pPr>
        <w:jc w:val="both"/>
        <w:rPr>
          <w:rFonts w:ascii="Verdana" w:hAnsi="Verdana"/>
        </w:rPr>
      </w:pPr>
      <w:r w:rsidRPr="006F1260">
        <w:rPr>
          <w:rFonts w:ascii="Verdana" w:hAnsi="Verdana"/>
          <w:b/>
        </w:rPr>
        <w:t>(iv)</w:t>
      </w:r>
      <w:r>
        <w:rPr>
          <w:rFonts w:ascii="Verdana" w:hAnsi="Verdana"/>
        </w:rPr>
        <w:tab/>
        <w:t>Como indicamos, l</w:t>
      </w:r>
      <w:r w:rsidR="00DE5024">
        <w:rPr>
          <w:rFonts w:ascii="Verdana" w:hAnsi="Verdana"/>
        </w:rPr>
        <w:t>a cifra de 9.500 m</w:t>
      </w:r>
      <w:r w:rsidR="00DE5024" w:rsidRPr="006916DF">
        <w:rPr>
          <w:rFonts w:ascii="Verdana" w:hAnsi="Verdana"/>
        </w:rPr>
        <w:t>³</w:t>
      </w:r>
      <w:r w:rsidR="00DE5024">
        <w:rPr>
          <w:rFonts w:ascii="Verdana" w:hAnsi="Verdana"/>
        </w:rPr>
        <w:t xml:space="preserve">/d como caudal máximo, </w:t>
      </w:r>
      <w:r w:rsidR="00F000FA">
        <w:rPr>
          <w:rFonts w:ascii="Verdana" w:hAnsi="Verdana"/>
        </w:rPr>
        <w:t>fue expuesta por primera vez por mi representad</w:t>
      </w:r>
      <w:r>
        <w:rPr>
          <w:rFonts w:ascii="Verdana" w:hAnsi="Verdana"/>
        </w:rPr>
        <w:t>a</w:t>
      </w:r>
      <w:r w:rsidR="00F000FA">
        <w:rPr>
          <w:rFonts w:ascii="Verdana" w:hAnsi="Verdana"/>
        </w:rPr>
        <w:t xml:space="preserve"> en la Adenda N°1 de la Declaración de Impacto Ambiental</w:t>
      </w:r>
      <w:r w:rsidR="0066121F">
        <w:rPr>
          <w:rFonts w:ascii="Verdana" w:hAnsi="Verdana"/>
        </w:rPr>
        <w:t xml:space="preserve"> de Abril de 2013</w:t>
      </w:r>
      <w:r w:rsidR="006733C1">
        <w:rPr>
          <w:rStyle w:val="Refdenotaalpie"/>
          <w:rFonts w:ascii="Verdana" w:hAnsi="Verdana"/>
        </w:rPr>
        <w:footnoteReference w:id="3"/>
      </w:r>
      <w:r w:rsidR="0066121F">
        <w:rPr>
          <w:rFonts w:ascii="Verdana" w:hAnsi="Verdana"/>
        </w:rPr>
        <w:t>,</w:t>
      </w:r>
      <w:r w:rsidR="00F000FA">
        <w:rPr>
          <w:rFonts w:ascii="Verdana" w:hAnsi="Verdana"/>
        </w:rPr>
        <w:t xml:space="preserve"> con motivo de la solicitud</w:t>
      </w:r>
      <w:r>
        <w:rPr>
          <w:rFonts w:ascii="Verdana" w:hAnsi="Verdana"/>
        </w:rPr>
        <w:t xml:space="preserve"> de </w:t>
      </w:r>
      <w:r w:rsidR="001B0A38">
        <w:rPr>
          <w:rFonts w:ascii="Verdana" w:hAnsi="Verdana"/>
        </w:rPr>
        <w:t>la DGA</w:t>
      </w:r>
      <w:r w:rsidR="00F000FA">
        <w:rPr>
          <w:rFonts w:ascii="Verdana" w:hAnsi="Verdana"/>
        </w:rPr>
        <w:t xml:space="preserve"> de indicar qué efectos ocasionará la descarga en caso de falla del sistema de tratamiento y las medidas contempladas por el titular para evitar un detrimento en la calidad del recurso hídrico. </w:t>
      </w:r>
    </w:p>
    <w:p w14:paraId="3F61BD05" w14:textId="77777777" w:rsidR="00F000FA" w:rsidRDefault="00F000FA" w:rsidP="006916DF">
      <w:pPr>
        <w:jc w:val="both"/>
        <w:rPr>
          <w:rFonts w:ascii="Verdana" w:hAnsi="Verdana"/>
        </w:rPr>
      </w:pPr>
      <w:r>
        <w:rPr>
          <w:rFonts w:ascii="Verdana" w:hAnsi="Verdana"/>
        </w:rPr>
        <w:tab/>
        <w:t xml:space="preserve">En este sentido, se indicó que para el caso de </w:t>
      </w:r>
      <w:r w:rsidR="0066121F">
        <w:rPr>
          <w:rFonts w:ascii="Verdana" w:hAnsi="Verdana"/>
        </w:rPr>
        <w:t xml:space="preserve">falla del sistema de tratamiento, en el periodo de verano, el titular se comprometería a realizar trabajos con la finalidad de eliminar los efectos adversos que tuviese aparejada una eventual </w:t>
      </w:r>
      <w:r w:rsidR="00741723">
        <w:rPr>
          <w:rFonts w:ascii="Verdana" w:hAnsi="Verdana"/>
        </w:rPr>
        <w:t>contingencia (lo que justifica</w:t>
      </w:r>
      <w:r w:rsidR="00785968">
        <w:rPr>
          <w:rFonts w:ascii="Verdana" w:hAnsi="Verdana"/>
        </w:rPr>
        <w:t>ría</w:t>
      </w:r>
      <w:r w:rsidR="00741723">
        <w:rPr>
          <w:rFonts w:ascii="Verdana" w:hAnsi="Verdana"/>
        </w:rPr>
        <w:t xml:space="preserve"> la inserción de este párrafo en el título “Plan de Contingencia”)</w:t>
      </w:r>
      <w:r w:rsidR="0066121F">
        <w:rPr>
          <w:rFonts w:ascii="Verdana" w:hAnsi="Verdana"/>
        </w:rPr>
        <w:t xml:space="preserve">. </w:t>
      </w:r>
    </w:p>
    <w:p w14:paraId="239D39BE" w14:textId="77777777" w:rsidR="00B37EB5" w:rsidRPr="0046009E" w:rsidRDefault="00785968" w:rsidP="00785968">
      <w:pPr>
        <w:jc w:val="both"/>
        <w:rPr>
          <w:rFonts w:ascii="Verdana" w:hAnsi="Verdana"/>
        </w:rPr>
      </w:pPr>
      <w:r w:rsidRPr="006F1260">
        <w:rPr>
          <w:rFonts w:ascii="Verdana" w:hAnsi="Verdana"/>
          <w:b/>
        </w:rPr>
        <w:t>(v)</w:t>
      </w:r>
      <w:r w:rsidRPr="006F1260">
        <w:rPr>
          <w:rFonts w:ascii="Verdana" w:hAnsi="Verdana"/>
          <w:b/>
        </w:rPr>
        <w:tab/>
      </w:r>
      <w:r w:rsidR="000F1926" w:rsidRPr="00B37EB5">
        <w:rPr>
          <w:rFonts w:ascii="Verdana" w:hAnsi="Verdana"/>
        </w:rPr>
        <w:t>Como se expuso, es durante el periodo estival, época de mayor producción, cuando la Planta de Tratamiento de RILes funciona de manera normal, bajo los parámetros e índices p</w:t>
      </w:r>
      <w:r w:rsidR="00E00115" w:rsidRPr="003E237E">
        <w:rPr>
          <w:rFonts w:ascii="Verdana" w:hAnsi="Verdana"/>
        </w:rPr>
        <w:t xml:space="preserve">ara la cual fue </w:t>
      </w:r>
      <w:r w:rsidR="00B37EB5" w:rsidRPr="003E237E">
        <w:rPr>
          <w:rFonts w:ascii="Verdana" w:hAnsi="Verdana"/>
        </w:rPr>
        <w:t>construida y aprobada ambientalmente</w:t>
      </w:r>
      <w:r w:rsidR="00E00115" w:rsidRPr="00927494">
        <w:rPr>
          <w:rFonts w:ascii="Verdana" w:hAnsi="Verdana"/>
        </w:rPr>
        <w:t>, no correspondiendo limitar el caudal máximo del afluente a 9.500 m³</w:t>
      </w:r>
      <w:r w:rsidR="00E00115" w:rsidRPr="0046009E">
        <w:rPr>
          <w:rFonts w:ascii="Verdana" w:hAnsi="Verdana"/>
        </w:rPr>
        <w:t>/d.</w:t>
      </w:r>
    </w:p>
    <w:p w14:paraId="61BCE817" w14:textId="77777777" w:rsidR="00E233AA" w:rsidRDefault="00B37EB5" w:rsidP="006916DF">
      <w:pPr>
        <w:jc w:val="both"/>
        <w:rPr>
          <w:rFonts w:ascii="Verdana" w:hAnsi="Verdana"/>
        </w:rPr>
      </w:pPr>
      <w:r>
        <w:rPr>
          <w:rFonts w:ascii="Verdana" w:hAnsi="Verdana"/>
        </w:rPr>
        <w:tab/>
      </w:r>
      <w:r w:rsidR="00E233AA">
        <w:rPr>
          <w:rFonts w:ascii="Verdana" w:hAnsi="Verdana"/>
        </w:rPr>
        <w:t xml:space="preserve">Por tal motivo, la modificación propuesta consiste en la eliminación del párrafo </w:t>
      </w:r>
      <w:r w:rsidR="00122D61">
        <w:rPr>
          <w:rFonts w:ascii="Verdana" w:hAnsi="Verdana"/>
        </w:rPr>
        <w:t>4°</w:t>
      </w:r>
      <w:r>
        <w:rPr>
          <w:rFonts w:ascii="Verdana" w:hAnsi="Verdana"/>
        </w:rPr>
        <w:t xml:space="preserve"> del numeral 3.2.2</w:t>
      </w:r>
      <w:r w:rsidR="00E233AA">
        <w:rPr>
          <w:rFonts w:ascii="Verdana" w:hAnsi="Verdana"/>
        </w:rPr>
        <w:t xml:space="preserve">, debido a </w:t>
      </w:r>
      <w:r w:rsidR="00122D61">
        <w:rPr>
          <w:rFonts w:ascii="Verdana" w:hAnsi="Verdana"/>
        </w:rPr>
        <w:t xml:space="preserve">la </w:t>
      </w:r>
      <w:r>
        <w:rPr>
          <w:rFonts w:ascii="Verdana" w:hAnsi="Verdana"/>
        </w:rPr>
        <w:t>desprolija</w:t>
      </w:r>
      <w:r w:rsidR="00E233AA">
        <w:rPr>
          <w:rFonts w:ascii="Verdana" w:hAnsi="Verdana"/>
        </w:rPr>
        <w:t xml:space="preserve"> redacción</w:t>
      </w:r>
      <w:r>
        <w:rPr>
          <w:rFonts w:ascii="Verdana" w:hAnsi="Verdana"/>
        </w:rPr>
        <w:t xml:space="preserve"> y al absurdo que conlleva la forma en que está establecido, exponiendo a Aconcagua Foods a sanciones por descontextualizaciones inapropiadas</w:t>
      </w:r>
      <w:r w:rsidR="00E233AA">
        <w:rPr>
          <w:rFonts w:ascii="Verdana" w:hAnsi="Verdana"/>
        </w:rPr>
        <w:t xml:space="preserve">. </w:t>
      </w:r>
    </w:p>
    <w:p w14:paraId="2720B1CB" w14:textId="77777777" w:rsidR="002A112F" w:rsidRDefault="002A112F" w:rsidP="006916DF">
      <w:pPr>
        <w:jc w:val="both"/>
        <w:rPr>
          <w:rFonts w:ascii="Verdana" w:hAnsi="Verdana"/>
        </w:rPr>
      </w:pPr>
    </w:p>
    <w:p w14:paraId="2C5180C1" w14:textId="77777777" w:rsidR="008A3B71" w:rsidRDefault="00B37EB5" w:rsidP="006916DF">
      <w:pPr>
        <w:jc w:val="both"/>
        <w:rPr>
          <w:rFonts w:ascii="Verdana" w:hAnsi="Verdana"/>
          <w:b/>
        </w:rPr>
      </w:pPr>
      <w:r>
        <w:rPr>
          <w:rFonts w:ascii="Verdana" w:hAnsi="Verdana"/>
          <w:b/>
        </w:rPr>
        <w:lastRenderedPageBreak/>
        <w:t>4</w:t>
      </w:r>
      <w:r w:rsidR="008A3B71">
        <w:rPr>
          <w:rFonts w:ascii="Verdana" w:hAnsi="Verdana"/>
          <w:b/>
        </w:rPr>
        <w:t xml:space="preserve">. </w:t>
      </w:r>
      <w:r w:rsidR="008A3B71" w:rsidRPr="00210B7F">
        <w:rPr>
          <w:rFonts w:ascii="Verdana" w:hAnsi="Verdana"/>
          <w:u w:val="single"/>
        </w:rPr>
        <w:t>Análisis de pertinencia</w:t>
      </w:r>
    </w:p>
    <w:p w14:paraId="4DC534F1" w14:textId="77777777" w:rsidR="008A3B71" w:rsidRDefault="008A3B71" w:rsidP="006916DF">
      <w:pPr>
        <w:jc w:val="both"/>
        <w:rPr>
          <w:rFonts w:ascii="Verdana" w:hAnsi="Verdana"/>
          <w:i/>
        </w:rPr>
      </w:pPr>
      <w:r>
        <w:rPr>
          <w:rFonts w:ascii="Verdana" w:hAnsi="Verdana"/>
          <w:b/>
        </w:rPr>
        <w:tab/>
      </w:r>
      <w:r w:rsidR="00C62C91">
        <w:rPr>
          <w:rFonts w:ascii="Verdana" w:hAnsi="Verdana"/>
        </w:rPr>
        <w:t>El artículo 8° de la Ley N°19.300, que Aprueba Ley sobre Bases Generales del Medio Ambiente</w:t>
      </w:r>
      <w:r w:rsidR="00B37EB5">
        <w:rPr>
          <w:rFonts w:ascii="Verdana" w:hAnsi="Verdana"/>
        </w:rPr>
        <w:t xml:space="preserve"> (“Ley N°19.300”)</w:t>
      </w:r>
      <w:r w:rsidR="00C62C91">
        <w:rPr>
          <w:rFonts w:ascii="Verdana" w:hAnsi="Verdana"/>
        </w:rPr>
        <w:t>, indica que “</w:t>
      </w:r>
      <w:r w:rsidR="00C62C91">
        <w:rPr>
          <w:rFonts w:ascii="Verdana" w:hAnsi="Verdana"/>
          <w:i/>
        </w:rPr>
        <w:t xml:space="preserve">Los proyectos o actividades señalados en el artículo 10 sólo podrán ejecutarse o modificarse previa evaluación de su impacto ambiental, de acuerdo a lo establecido en la presente Ley”. </w:t>
      </w:r>
    </w:p>
    <w:p w14:paraId="218CF0AC" w14:textId="77777777" w:rsidR="00C62C91" w:rsidRDefault="00C62C91" w:rsidP="00FB3CA7">
      <w:pPr>
        <w:ind w:firstLine="708"/>
        <w:jc w:val="both"/>
        <w:rPr>
          <w:rFonts w:ascii="Verdana" w:hAnsi="Verdana"/>
        </w:rPr>
      </w:pPr>
      <w:r>
        <w:rPr>
          <w:rFonts w:ascii="Verdana" w:hAnsi="Verdana"/>
        </w:rPr>
        <w:t xml:space="preserve">Por </w:t>
      </w:r>
      <w:r w:rsidR="00FB3CA7">
        <w:rPr>
          <w:rFonts w:ascii="Verdana" w:hAnsi="Verdana"/>
        </w:rPr>
        <w:t>su parte, el Decreto Supremo N°</w:t>
      </w:r>
      <w:r>
        <w:rPr>
          <w:rFonts w:ascii="Verdana" w:hAnsi="Verdana"/>
        </w:rPr>
        <w:t xml:space="preserve">40 de 2012, que </w:t>
      </w:r>
      <w:r w:rsidR="00FB3CA7">
        <w:rPr>
          <w:rFonts w:ascii="Verdana" w:hAnsi="Verdana"/>
        </w:rPr>
        <w:t>Aprueba Reglamento</w:t>
      </w:r>
      <w:r>
        <w:rPr>
          <w:rFonts w:ascii="Verdana" w:hAnsi="Verdana"/>
        </w:rPr>
        <w:t xml:space="preserve"> </w:t>
      </w:r>
      <w:r w:rsidR="00FB3CA7">
        <w:rPr>
          <w:rFonts w:ascii="Verdana" w:hAnsi="Verdana"/>
        </w:rPr>
        <w:t>d</w:t>
      </w:r>
      <w:r>
        <w:rPr>
          <w:rFonts w:ascii="Verdana" w:hAnsi="Verdana"/>
        </w:rPr>
        <w:t>el Sistema de Eva</w:t>
      </w:r>
      <w:r w:rsidR="00FB3CA7">
        <w:rPr>
          <w:rFonts w:ascii="Verdana" w:hAnsi="Verdana"/>
        </w:rPr>
        <w:t>luación Ambiental</w:t>
      </w:r>
      <w:r w:rsidR="00B37EB5">
        <w:rPr>
          <w:rFonts w:ascii="Verdana" w:hAnsi="Verdana"/>
        </w:rPr>
        <w:t xml:space="preserve"> (“D.S. N°40/2012”)</w:t>
      </w:r>
      <w:r w:rsidR="005B0890">
        <w:rPr>
          <w:rFonts w:ascii="Verdana" w:hAnsi="Verdana"/>
        </w:rPr>
        <w:t>, en su artículo 2° letra g) define lo que se entiende por modificación de proyecto que deba someterse al Sistema de Evaluación de Impacto Ambiental (en adelante, “SEIA”), de la siguiente forma:</w:t>
      </w:r>
    </w:p>
    <w:p w14:paraId="36F9B846" w14:textId="77777777" w:rsidR="00BB70FB" w:rsidRPr="006A3A6D" w:rsidRDefault="00BB70FB" w:rsidP="006A3A6D">
      <w:pPr>
        <w:ind w:left="708" w:right="724"/>
        <w:jc w:val="both"/>
        <w:rPr>
          <w:rFonts w:ascii="Verdana" w:hAnsi="Verdana"/>
          <w:i/>
          <w:sz w:val="20"/>
          <w:szCs w:val="20"/>
        </w:rPr>
      </w:pPr>
      <w:r w:rsidRPr="006A3A6D">
        <w:rPr>
          <w:rFonts w:ascii="Verdana" w:hAnsi="Verdana"/>
          <w:sz w:val="20"/>
          <w:szCs w:val="20"/>
        </w:rPr>
        <w:t>“</w:t>
      </w:r>
      <w:r w:rsidR="005B0890" w:rsidRPr="006A3A6D">
        <w:rPr>
          <w:rFonts w:ascii="Verdana" w:hAnsi="Verdana"/>
          <w:i/>
          <w:sz w:val="20"/>
          <w:szCs w:val="20"/>
        </w:rPr>
        <w:t xml:space="preserve">g) </w:t>
      </w:r>
      <w:r w:rsidR="005B0890" w:rsidRPr="006A3A6D">
        <w:rPr>
          <w:rFonts w:ascii="Verdana" w:hAnsi="Verdana"/>
          <w:b/>
          <w:i/>
          <w:sz w:val="20"/>
          <w:szCs w:val="20"/>
        </w:rPr>
        <w:t>Modificación de proyecto o actividad:</w:t>
      </w:r>
      <w:r w:rsidR="005B0890" w:rsidRPr="006A3A6D">
        <w:rPr>
          <w:rFonts w:ascii="Verdana" w:hAnsi="Verdana"/>
          <w:i/>
          <w:sz w:val="20"/>
          <w:szCs w:val="20"/>
        </w:rPr>
        <w:t xml:space="preserve"> Realización de obras, acciones o medidas tendientes a intervenir o complementar un proyecto o actividad, de modo tal que éste sufra cambios de consideración. Se entenderá que un proyecto o actividad sufre cambios de consideración cuando: </w:t>
      </w:r>
    </w:p>
    <w:p w14:paraId="251F1B57" w14:textId="77777777" w:rsidR="00BB70FB" w:rsidRPr="006A3A6D" w:rsidRDefault="005B0890" w:rsidP="006A3A6D">
      <w:pPr>
        <w:ind w:left="708" w:right="724"/>
        <w:jc w:val="both"/>
        <w:rPr>
          <w:rFonts w:ascii="Verdana" w:hAnsi="Verdana"/>
          <w:i/>
          <w:sz w:val="20"/>
          <w:szCs w:val="20"/>
        </w:rPr>
      </w:pPr>
      <w:r w:rsidRPr="006A3A6D">
        <w:rPr>
          <w:rFonts w:ascii="Verdana" w:hAnsi="Verdana"/>
          <w:i/>
          <w:sz w:val="20"/>
          <w:szCs w:val="20"/>
        </w:rPr>
        <w:t xml:space="preserve">g.1. Las partes, obras o acciones tendientes a intervenir o complementar el proyecto o actividad constituyen un proyecto o actividad listado en el artículo 3 del presente Reglamento; </w:t>
      </w:r>
    </w:p>
    <w:p w14:paraId="35689E24" w14:textId="77777777" w:rsidR="00BB70FB" w:rsidRPr="006A3A6D" w:rsidRDefault="005B0890" w:rsidP="006A3A6D">
      <w:pPr>
        <w:ind w:left="708" w:right="724"/>
        <w:jc w:val="both"/>
        <w:rPr>
          <w:rFonts w:ascii="Verdana" w:hAnsi="Verdana"/>
          <w:i/>
          <w:sz w:val="20"/>
          <w:szCs w:val="20"/>
        </w:rPr>
      </w:pPr>
      <w:r w:rsidRPr="006A3A6D">
        <w:rPr>
          <w:rFonts w:ascii="Verdana" w:hAnsi="Verdana"/>
          <w:i/>
          <w:sz w:val="20"/>
          <w:szCs w:val="20"/>
        </w:rPr>
        <w:t xml:space="preserve">g.2. Para los proyectos que se iniciaron de manera previa a la entrada en vigencia del sistema de evaluación de impacto ambiental, si la suma de las partes, obras o acciones tendientes a intervenir o complementar el proyecto o actividad de manera posterior a la entrada en vigencia de dicho sistema que no han sido calificados ambientalmente, constituye un proyecto o actividad listado en el artículo 3 del presente Reglamento. </w:t>
      </w:r>
    </w:p>
    <w:p w14:paraId="09879423" w14:textId="77777777" w:rsidR="00BB70FB" w:rsidRPr="006A3A6D" w:rsidRDefault="005B0890" w:rsidP="006A3A6D">
      <w:pPr>
        <w:ind w:left="708" w:right="724"/>
        <w:jc w:val="both"/>
        <w:rPr>
          <w:rFonts w:ascii="Verdana" w:hAnsi="Verdana"/>
          <w:i/>
          <w:sz w:val="20"/>
          <w:szCs w:val="20"/>
        </w:rPr>
      </w:pPr>
      <w:r w:rsidRPr="006A3A6D">
        <w:rPr>
          <w:rFonts w:ascii="Verdana" w:hAnsi="Verdana"/>
          <w:i/>
          <w:sz w:val="20"/>
          <w:szCs w:val="20"/>
        </w:rPr>
        <w:t xml:space="preserve">Para los proyectos que se iniciaron de manera posterior a la entrada en vigencia del sistema de evaluación de impacto ambiental, si la suma de las partes, obras y acciones que no han sido calificadas ambientalmente y las partes, obras o acciones tendientes a intervenirlo o complementarlo, constituyen un proyecto o actividad listado en el artículo 3 del presente Reglamento; </w:t>
      </w:r>
    </w:p>
    <w:p w14:paraId="314ABA03" w14:textId="77777777" w:rsidR="00BB70FB" w:rsidRPr="006A3A6D" w:rsidRDefault="005B0890" w:rsidP="006A3A6D">
      <w:pPr>
        <w:ind w:left="708" w:right="724"/>
        <w:jc w:val="both"/>
        <w:rPr>
          <w:rFonts w:ascii="Verdana" w:hAnsi="Verdana"/>
          <w:i/>
          <w:sz w:val="20"/>
          <w:szCs w:val="20"/>
        </w:rPr>
      </w:pPr>
      <w:r w:rsidRPr="006A3A6D">
        <w:rPr>
          <w:rFonts w:ascii="Verdana" w:hAnsi="Verdana"/>
          <w:i/>
          <w:sz w:val="20"/>
          <w:szCs w:val="20"/>
        </w:rPr>
        <w:t xml:space="preserve">g.3. Las obras o acciones tendientes a intervenir o complementar el proyecto o actividad modifican sustantivamente la extensión, magnitud o duración de los impactos ambientales del proyecto o actividad; o </w:t>
      </w:r>
    </w:p>
    <w:p w14:paraId="1ACEE0E1" w14:textId="77777777" w:rsidR="00BB70FB" w:rsidRPr="006A3A6D" w:rsidRDefault="005B0890" w:rsidP="006A3A6D">
      <w:pPr>
        <w:ind w:left="708" w:right="724"/>
        <w:jc w:val="both"/>
        <w:rPr>
          <w:rFonts w:ascii="Verdana" w:hAnsi="Verdana"/>
          <w:i/>
          <w:sz w:val="20"/>
          <w:szCs w:val="20"/>
        </w:rPr>
      </w:pPr>
      <w:r w:rsidRPr="006A3A6D">
        <w:rPr>
          <w:rFonts w:ascii="Verdana" w:hAnsi="Verdana"/>
          <w:i/>
          <w:sz w:val="20"/>
          <w:szCs w:val="20"/>
        </w:rPr>
        <w:t xml:space="preserve">g.4. Las medidas de mitigación, reparación y compensación para hacerse cargo de los impactos significativos de un proyecto o actividad calificado ambientalmente, se ven modificadas sustantivamente. </w:t>
      </w:r>
    </w:p>
    <w:p w14:paraId="0D95DEC6" w14:textId="77777777" w:rsidR="005B0890" w:rsidRPr="006A3A6D" w:rsidRDefault="005B0890" w:rsidP="006A3A6D">
      <w:pPr>
        <w:ind w:left="708" w:right="724"/>
        <w:jc w:val="both"/>
        <w:rPr>
          <w:rFonts w:ascii="Verdana" w:hAnsi="Verdana"/>
          <w:sz w:val="20"/>
          <w:szCs w:val="20"/>
        </w:rPr>
      </w:pPr>
      <w:r w:rsidRPr="006A3A6D">
        <w:rPr>
          <w:rFonts w:ascii="Verdana" w:hAnsi="Verdana"/>
          <w:i/>
          <w:sz w:val="20"/>
          <w:szCs w:val="20"/>
        </w:rPr>
        <w:t>Para efectos de los casos anteriores, se considerarán los cambios sucesivos que haya sufrido el proyecto o actividad desde la entrada en vigencia del sistema de evaluación de impacto ambiental</w:t>
      </w:r>
      <w:r w:rsidR="00BB70FB" w:rsidRPr="006A3A6D">
        <w:rPr>
          <w:rFonts w:ascii="Verdana" w:hAnsi="Verdana"/>
          <w:sz w:val="20"/>
          <w:szCs w:val="20"/>
        </w:rPr>
        <w:t>”</w:t>
      </w:r>
      <w:r w:rsidRPr="006A3A6D">
        <w:rPr>
          <w:rFonts w:ascii="Verdana" w:hAnsi="Verdana"/>
          <w:sz w:val="20"/>
          <w:szCs w:val="20"/>
        </w:rPr>
        <w:t>.</w:t>
      </w:r>
    </w:p>
    <w:p w14:paraId="49900CE6" w14:textId="77777777" w:rsidR="00B37EB5" w:rsidRDefault="00BB70FB" w:rsidP="00BB70FB">
      <w:pPr>
        <w:ind w:firstLine="708"/>
        <w:jc w:val="both"/>
        <w:rPr>
          <w:rFonts w:ascii="Verdana" w:hAnsi="Verdana"/>
        </w:rPr>
      </w:pPr>
      <w:r>
        <w:rPr>
          <w:rFonts w:ascii="Verdana" w:hAnsi="Verdana"/>
        </w:rPr>
        <w:lastRenderedPageBreak/>
        <w:t xml:space="preserve">Respecto de la consulta de pertinencia de ingreso al SEIA que se somete a su consideración, como dispone el Reglamento antes indicado, el proyecto debe sufrir </w:t>
      </w:r>
      <w:r>
        <w:rPr>
          <w:rFonts w:ascii="Verdana" w:hAnsi="Verdana"/>
          <w:u w:val="single"/>
        </w:rPr>
        <w:t>cambios de consideración</w:t>
      </w:r>
      <w:r>
        <w:rPr>
          <w:rFonts w:ascii="Verdana" w:hAnsi="Verdana"/>
        </w:rPr>
        <w:t xml:space="preserve">. </w:t>
      </w:r>
    </w:p>
    <w:p w14:paraId="364BAB85" w14:textId="77777777" w:rsidR="00BB70FB" w:rsidRDefault="00BB70FB" w:rsidP="00BB70FB">
      <w:pPr>
        <w:ind w:firstLine="708"/>
        <w:jc w:val="both"/>
        <w:rPr>
          <w:rFonts w:ascii="Verdana" w:hAnsi="Verdana"/>
        </w:rPr>
      </w:pPr>
      <w:r>
        <w:rPr>
          <w:rFonts w:ascii="Verdana" w:hAnsi="Verdana"/>
        </w:rPr>
        <w:t xml:space="preserve">Con el fin de evaluar si la modificación propuesta constituye o no un cambio de consideración, </w:t>
      </w:r>
      <w:r w:rsidR="006A3A6D">
        <w:rPr>
          <w:rFonts w:ascii="Verdana" w:hAnsi="Verdana"/>
        </w:rPr>
        <w:t xml:space="preserve">a continuación </w:t>
      </w:r>
      <w:r>
        <w:rPr>
          <w:rFonts w:ascii="Verdana" w:hAnsi="Verdana"/>
        </w:rPr>
        <w:t xml:space="preserve">se analizan </w:t>
      </w:r>
      <w:r w:rsidR="006A3A6D">
        <w:rPr>
          <w:rFonts w:ascii="Verdana" w:hAnsi="Verdana"/>
        </w:rPr>
        <w:t>uno a uno los casos previstos en el Reglamento del SEIA</w:t>
      </w:r>
      <w:r>
        <w:rPr>
          <w:rFonts w:ascii="Verdana" w:hAnsi="Verdana"/>
        </w:rPr>
        <w:t xml:space="preserve">: </w:t>
      </w:r>
    </w:p>
    <w:p w14:paraId="0FFFF09A" w14:textId="77777777" w:rsidR="00E233AA" w:rsidRDefault="00B37EB5" w:rsidP="006A3A6D">
      <w:pPr>
        <w:ind w:left="705" w:hanging="705"/>
        <w:jc w:val="both"/>
        <w:rPr>
          <w:rFonts w:ascii="Verdana" w:hAnsi="Verdana"/>
          <w:i/>
        </w:rPr>
      </w:pPr>
      <w:r w:rsidRPr="006F1260">
        <w:rPr>
          <w:rFonts w:ascii="Verdana" w:hAnsi="Verdana"/>
          <w:b/>
        </w:rPr>
        <w:t>a)</w:t>
      </w:r>
      <w:r>
        <w:rPr>
          <w:rFonts w:ascii="Verdana" w:hAnsi="Verdana"/>
          <w:i/>
        </w:rPr>
        <w:t xml:space="preserve"> </w:t>
      </w:r>
      <w:r>
        <w:rPr>
          <w:rFonts w:ascii="Verdana" w:hAnsi="Verdana"/>
          <w:i/>
        </w:rPr>
        <w:tab/>
      </w:r>
      <w:r w:rsidR="00E233AA" w:rsidRPr="00BB70FB">
        <w:rPr>
          <w:rFonts w:ascii="Verdana" w:hAnsi="Verdana"/>
          <w:i/>
        </w:rPr>
        <w:t>g.1. Las partes, obras o acciones tendientes a intervenir o complementar el proyecto o actividad constituyen un proyecto o actividad listado en el artículo 3 del presente Reglamento</w:t>
      </w:r>
    </w:p>
    <w:p w14:paraId="68BDEAE8" w14:textId="77777777" w:rsidR="00E233AA" w:rsidRDefault="00E233AA" w:rsidP="00D316F0">
      <w:pPr>
        <w:ind w:firstLine="708"/>
        <w:jc w:val="both"/>
        <w:rPr>
          <w:rFonts w:ascii="Verdana" w:hAnsi="Verdana"/>
        </w:rPr>
      </w:pPr>
      <w:r>
        <w:rPr>
          <w:rFonts w:ascii="Verdana" w:hAnsi="Verdana"/>
        </w:rPr>
        <w:t>Como se ha expuesto precedentemente, la modificación propuesta y detallada en este documento, consiste en la eliminación del párrafo que menciona los 9.500 m³/día como caudal máximo durante el periodo de verano</w:t>
      </w:r>
      <w:r w:rsidR="00D316F0">
        <w:rPr>
          <w:rFonts w:ascii="Verdana" w:hAnsi="Verdana"/>
        </w:rPr>
        <w:t xml:space="preserve">, sin que se alteren los parámetros bajo los cuales </w:t>
      </w:r>
      <w:r w:rsidR="003E237E">
        <w:rPr>
          <w:rFonts w:ascii="Verdana" w:hAnsi="Verdana"/>
        </w:rPr>
        <w:t xml:space="preserve">opera </w:t>
      </w:r>
      <w:r w:rsidR="00D316F0">
        <w:rPr>
          <w:rFonts w:ascii="Verdana" w:hAnsi="Verdana"/>
        </w:rPr>
        <w:t xml:space="preserve">y fue aprobado el funcionamiento de la Planta de Tratamiento de Riles de Aconcagua Foods. </w:t>
      </w:r>
    </w:p>
    <w:p w14:paraId="58E9B181" w14:textId="77777777" w:rsidR="003E237E" w:rsidRDefault="00D316F0" w:rsidP="00D316F0">
      <w:pPr>
        <w:ind w:firstLine="708"/>
        <w:jc w:val="both"/>
        <w:rPr>
          <w:rFonts w:ascii="Verdana" w:hAnsi="Verdana"/>
        </w:rPr>
      </w:pPr>
      <w:r>
        <w:rPr>
          <w:rFonts w:ascii="Verdana" w:hAnsi="Verdana"/>
        </w:rPr>
        <w:t xml:space="preserve">Esta modificación, no constituye, en sí misma, un proyecto </w:t>
      </w:r>
      <w:r w:rsidR="004223DA">
        <w:rPr>
          <w:rFonts w:ascii="Verdana" w:hAnsi="Verdana"/>
        </w:rPr>
        <w:t xml:space="preserve">o </w:t>
      </w:r>
      <w:r>
        <w:rPr>
          <w:rFonts w:ascii="Verdana" w:hAnsi="Verdana"/>
        </w:rPr>
        <w:t xml:space="preserve">actividad listado en el artículo 3° del </w:t>
      </w:r>
      <w:r w:rsidR="003E237E">
        <w:rPr>
          <w:rFonts w:ascii="Verdana" w:hAnsi="Verdana"/>
        </w:rPr>
        <w:t>D.S. N°40/2012</w:t>
      </w:r>
      <w:r>
        <w:rPr>
          <w:rFonts w:ascii="Verdana" w:hAnsi="Verdana"/>
        </w:rPr>
        <w:t xml:space="preserve">. </w:t>
      </w:r>
    </w:p>
    <w:p w14:paraId="184B78EF" w14:textId="77777777" w:rsidR="00D316F0" w:rsidRDefault="004223DA" w:rsidP="003E237E">
      <w:pPr>
        <w:ind w:firstLine="708"/>
        <w:jc w:val="both"/>
        <w:rPr>
          <w:rFonts w:ascii="Verdana" w:hAnsi="Verdana"/>
        </w:rPr>
      </w:pPr>
      <w:r>
        <w:rPr>
          <w:rFonts w:ascii="Verdana" w:hAnsi="Verdana"/>
        </w:rPr>
        <w:t>En lo específico, la tipología de proyecto que mejor refleja la modificación que se propone se encuentra en la letra o) del artículo 3° del Reglamento, que indica lo siguiente (para efecto de este análisis se cita a continuación solo aquellos párrafos pertinentes)</w:t>
      </w:r>
      <w:r w:rsidR="00AF4FBB">
        <w:rPr>
          <w:rFonts w:ascii="Verdana" w:hAnsi="Verdana"/>
        </w:rPr>
        <w:t>:</w:t>
      </w:r>
    </w:p>
    <w:p w14:paraId="226B1EDA" w14:textId="77777777" w:rsidR="004223DA" w:rsidRPr="006A3A6D" w:rsidRDefault="00AF4FBB" w:rsidP="00AF4FBB">
      <w:pPr>
        <w:ind w:left="708"/>
        <w:jc w:val="both"/>
        <w:rPr>
          <w:rFonts w:ascii="Verdana" w:hAnsi="Verdana"/>
          <w:i/>
          <w:sz w:val="20"/>
          <w:szCs w:val="20"/>
        </w:rPr>
      </w:pPr>
      <w:r w:rsidRPr="006A3A6D">
        <w:rPr>
          <w:rFonts w:ascii="Verdana" w:hAnsi="Verdana"/>
          <w:sz w:val="20"/>
          <w:szCs w:val="20"/>
        </w:rPr>
        <w:t>“</w:t>
      </w:r>
      <w:r w:rsidR="004223DA" w:rsidRPr="006A3A6D">
        <w:rPr>
          <w:rFonts w:ascii="Verdana" w:hAnsi="Verdana"/>
          <w:sz w:val="20"/>
          <w:szCs w:val="20"/>
        </w:rPr>
        <w:t xml:space="preserve">o) </w:t>
      </w:r>
      <w:r w:rsidR="004223DA" w:rsidRPr="006A3A6D">
        <w:rPr>
          <w:rFonts w:ascii="Verdana" w:hAnsi="Verdana"/>
          <w:i/>
          <w:sz w:val="20"/>
          <w:szCs w:val="20"/>
        </w:rPr>
        <w:t>Proyectos de saneamiento ambiental, tales como sistemas de alcantarillado y agua potable, plantas de tratamiento de agua o de residuos sólidos de origen domiciliario, rellenos sanitarios, emisarios submarinos, sistemas de tratamiento y disposición de residuos industriales líquidos o sólidos. Se entenderá por proyectos de saneamiento ambiental al conjunto de obras, servicios, técnicas, dispositivos o piezas que correspondan a:</w:t>
      </w:r>
    </w:p>
    <w:p w14:paraId="028B4340" w14:textId="77777777" w:rsidR="00AF4FBB" w:rsidRPr="006A3A6D" w:rsidRDefault="004223DA" w:rsidP="00AF4FBB">
      <w:pPr>
        <w:ind w:left="708"/>
        <w:jc w:val="both"/>
        <w:rPr>
          <w:rFonts w:ascii="Verdana" w:hAnsi="Verdana"/>
          <w:i/>
          <w:sz w:val="20"/>
          <w:szCs w:val="20"/>
        </w:rPr>
      </w:pPr>
      <w:r w:rsidRPr="006A3A6D">
        <w:rPr>
          <w:rFonts w:ascii="Verdana" w:hAnsi="Verdana"/>
          <w:i/>
          <w:sz w:val="20"/>
          <w:szCs w:val="20"/>
        </w:rPr>
        <w:t xml:space="preserve">o.7. Sistemas de tratamiento y/o disposición de residuos industriales líquidos, que cumplan al menos alguna de las siguientes condiciones: </w:t>
      </w:r>
    </w:p>
    <w:p w14:paraId="339FAE9D" w14:textId="77777777" w:rsidR="004223DA" w:rsidRPr="006A3A6D" w:rsidRDefault="004223DA" w:rsidP="00D316F0">
      <w:pPr>
        <w:ind w:firstLine="708"/>
        <w:jc w:val="both"/>
        <w:rPr>
          <w:rFonts w:ascii="Verdana" w:hAnsi="Verdana"/>
          <w:sz w:val="20"/>
          <w:szCs w:val="20"/>
        </w:rPr>
      </w:pPr>
      <w:r w:rsidRPr="006A3A6D">
        <w:rPr>
          <w:rFonts w:ascii="Verdana" w:hAnsi="Verdana"/>
          <w:i/>
          <w:sz w:val="20"/>
          <w:szCs w:val="20"/>
        </w:rPr>
        <w:t>o.7.1 Contemplen dentro de sus instalac</w:t>
      </w:r>
      <w:r w:rsidR="00AF4FBB" w:rsidRPr="006A3A6D">
        <w:rPr>
          <w:rFonts w:ascii="Verdana" w:hAnsi="Verdana"/>
          <w:i/>
          <w:sz w:val="20"/>
          <w:szCs w:val="20"/>
        </w:rPr>
        <w:t>iones lagunas de estabilización</w:t>
      </w:r>
      <w:r w:rsidR="00AF4FBB" w:rsidRPr="006A3A6D">
        <w:rPr>
          <w:rFonts w:ascii="Verdana" w:hAnsi="Verdana"/>
          <w:sz w:val="20"/>
          <w:szCs w:val="20"/>
        </w:rPr>
        <w:t>;</w:t>
      </w:r>
    </w:p>
    <w:p w14:paraId="0FFA9801" w14:textId="77777777" w:rsidR="00AF4FBB" w:rsidRPr="006A3A6D" w:rsidRDefault="00AF4FBB" w:rsidP="00AF4FBB">
      <w:pPr>
        <w:ind w:left="708"/>
        <w:jc w:val="both"/>
        <w:rPr>
          <w:rFonts w:ascii="Verdana" w:hAnsi="Verdana"/>
          <w:i/>
          <w:sz w:val="20"/>
          <w:szCs w:val="20"/>
        </w:rPr>
      </w:pPr>
      <w:r w:rsidRPr="006A3A6D">
        <w:rPr>
          <w:rFonts w:ascii="Verdana" w:hAnsi="Verdana"/>
          <w:i/>
          <w:sz w:val="20"/>
          <w:szCs w:val="20"/>
        </w:rPr>
        <w:t xml:space="preserve">o.7.2 Que sus efluentes se usen para el riego, infiltración, aspersión y humectación de terrenos o caminos; </w:t>
      </w:r>
    </w:p>
    <w:p w14:paraId="1BA6161D" w14:textId="77777777" w:rsidR="00AF4FBB" w:rsidRPr="006A3A6D" w:rsidRDefault="00AF4FBB" w:rsidP="00AF4FBB">
      <w:pPr>
        <w:ind w:left="708"/>
        <w:jc w:val="both"/>
        <w:rPr>
          <w:rFonts w:ascii="Verdana" w:hAnsi="Verdana"/>
          <w:i/>
          <w:sz w:val="20"/>
          <w:szCs w:val="20"/>
        </w:rPr>
      </w:pPr>
      <w:r w:rsidRPr="006A3A6D">
        <w:rPr>
          <w:rFonts w:ascii="Verdana" w:hAnsi="Verdana"/>
          <w:i/>
          <w:sz w:val="20"/>
          <w:szCs w:val="20"/>
        </w:rPr>
        <w:t>o.7.4 Traten efluentes con una carga contaminante media diaria igual o superior al equivalente a las aguas servidas de una población de cien (100) personas, en uno o más de los parámetros señalados en la respectiva norma de descargas de residuos líquidos.”</w:t>
      </w:r>
    </w:p>
    <w:p w14:paraId="4DAB0F68" w14:textId="77777777" w:rsidR="00AF4FBB" w:rsidRDefault="006A3A6D" w:rsidP="00AF4FBB">
      <w:pPr>
        <w:ind w:firstLine="708"/>
        <w:jc w:val="both"/>
        <w:rPr>
          <w:rFonts w:ascii="Verdana" w:hAnsi="Verdana"/>
        </w:rPr>
      </w:pPr>
      <w:r>
        <w:rPr>
          <w:rFonts w:ascii="Verdana" w:hAnsi="Verdana"/>
        </w:rPr>
        <w:t>E</w:t>
      </w:r>
      <w:r w:rsidR="00AF4FBB">
        <w:rPr>
          <w:rFonts w:ascii="Verdana" w:hAnsi="Verdana"/>
        </w:rPr>
        <w:t xml:space="preserve">sta modificación propuesta no altera el funcionamiento </w:t>
      </w:r>
      <w:r>
        <w:rPr>
          <w:rFonts w:ascii="Verdana" w:hAnsi="Verdana"/>
        </w:rPr>
        <w:t xml:space="preserve">ni el equipamiento con que cuenta </w:t>
      </w:r>
      <w:r w:rsidR="00AF4FBB">
        <w:rPr>
          <w:rFonts w:ascii="Verdana" w:hAnsi="Verdana"/>
        </w:rPr>
        <w:t>la Planta de Tratamiento de RILes de Aconcagua Foods, sino que solo busca eliminar el párrafo</w:t>
      </w:r>
      <w:r w:rsidR="003E237E">
        <w:rPr>
          <w:rFonts w:ascii="Verdana" w:hAnsi="Verdana"/>
        </w:rPr>
        <w:t xml:space="preserve"> de forma que la RCA N°465/2013 describa fielmente la operación de </w:t>
      </w:r>
      <w:r w:rsidR="003E237E">
        <w:rPr>
          <w:rFonts w:ascii="Verdana" w:hAnsi="Verdana"/>
        </w:rPr>
        <w:lastRenderedPageBreak/>
        <w:t>esta y le otorgue una redacción armónica y congruente con los demás parámetros aprobados.</w:t>
      </w:r>
    </w:p>
    <w:p w14:paraId="367ADD73" w14:textId="77777777" w:rsidR="00F07BF4" w:rsidRPr="003E237E" w:rsidRDefault="003E237E" w:rsidP="006F1260">
      <w:pPr>
        <w:jc w:val="both"/>
        <w:rPr>
          <w:rFonts w:ascii="Verdana" w:hAnsi="Verdana"/>
          <w:i/>
        </w:rPr>
      </w:pPr>
      <w:r>
        <w:rPr>
          <w:rFonts w:ascii="Verdana" w:hAnsi="Verdana"/>
          <w:b/>
        </w:rPr>
        <w:t>b</w:t>
      </w:r>
      <w:r w:rsidRPr="006F1260">
        <w:rPr>
          <w:rFonts w:ascii="Verdana" w:hAnsi="Verdana"/>
          <w:b/>
        </w:rPr>
        <w:t>)</w:t>
      </w:r>
      <w:r>
        <w:rPr>
          <w:rFonts w:ascii="Verdana" w:hAnsi="Verdana"/>
          <w:b/>
        </w:rPr>
        <w:tab/>
      </w:r>
      <w:r w:rsidR="00F07BF4" w:rsidRPr="003E237E">
        <w:rPr>
          <w:rFonts w:ascii="Verdana" w:hAnsi="Verdana"/>
          <w:i/>
        </w:rPr>
        <w:t xml:space="preserve">g.2. Para los proyectos que se iniciaron de manera previa a la entrada en vigencia del sistema de evaluación de impacto ambiental, si la suma de las partes, obras o acciones tendientes a intervenir o complementar el proyecto o actividad de manera posterior a la entrada en vigencia de dicho sistema que no han sido calificados ambientalmente, constituye un proyecto o actividad listado en el artículo 3 del presente Reglamento. </w:t>
      </w:r>
    </w:p>
    <w:p w14:paraId="228E685C" w14:textId="77777777" w:rsidR="00F07BF4" w:rsidRPr="006F1260" w:rsidRDefault="003E237E" w:rsidP="003E237E">
      <w:pPr>
        <w:ind w:firstLine="708"/>
        <w:jc w:val="both"/>
        <w:rPr>
          <w:rFonts w:ascii="Verdana" w:hAnsi="Verdana"/>
          <w:i/>
        </w:rPr>
      </w:pPr>
      <w:r>
        <w:rPr>
          <w:rFonts w:ascii="Verdana" w:hAnsi="Verdana"/>
        </w:rPr>
        <w:t xml:space="preserve">La modificación que se somete a análisis no cabe dentro de la hipótesis de la </w:t>
      </w:r>
      <w:r w:rsidR="006A3A6D">
        <w:rPr>
          <w:rFonts w:ascii="Verdana" w:hAnsi="Verdana"/>
        </w:rPr>
        <w:t>letra</w:t>
      </w:r>
      <w:r>
        <w:rPr>
          <w:rFonts w:ascii="Verdana" w:hAnsi="Verdana"/>
        </w:rPr>
        <w:t xml:space="preserve"> g.2. referida.</w:t>
      </w:r>
    </w:p>
    <w:p w14:paraId="4C465442" w14:textId="77777777" w:rsidR="00F07BF4" w:rsidRPr="006F1260" w:rsidRDefault="003E237E" w:rsidP="006F1260">
      <w:pPr>
        <w:jc w:val="both"/>
        <w:rPr>
          <w:rFonts w:ascii="Verdana" w:hAnsi="Verdana"/>
          <w:b/>
        </w:rPr>
      </w:pPr>
      <w:r w:rsidRPr="006F1260">
        <w:rPr>
          <w:rFonts w:ascii="Verdana" w:hAnsi="Verdana"/>
          <w:b/>
        </w:rPr>
        <w:t>c)</w:t>
      </w:r>
      <w:r w:rsidRPr="006F1260">
        <w:rPr>
          <w:rFonts w:ascii="Verdana" w:hAnsi="Verdana"/>
          <w:b/>
        </w:rPr>
        <w:tab/>
      </w:r>
      <w:r w:rsidR="00F07BF4" w:rsidRPr="003E237E">
        <w:rPr>
          <w:rFonts w:ascii="Verdana" w:hAnsi="Verdana"/>
          <w:i/>
        </w:rPr>
        <w:t xml:space="preserve">g.3. Las obras o acciones tendientes a intervenir o complementar el proyecto o actividad modifican sustantivamente la extensión, magnitud o </w:t>
      </w:r>
      <w:r w:rsidR="00F07BF4" w:rsidRPr="00927494">
        <w:rPr>
          <w:rFonts w:ascii="Verdana" w:hAnsi="Verdana"/>
          <w:i/>
        </w:rPr>
        <w:t>duración de los impactos ambientales del proyecto o actividad</w:t>
      </w:r>
      <w:r w:rsidRPr="00927494">
        <w:rPr>
          <w:rFonts w:ascii="Verdana" w:hAnsi="Verdana"/>
          <w:i/>
        </w:rPr>
        <w:t>.</w:t>
      </w:r>
    </w:p>
    <w:p w14:paraId="411B42B7" w14:textId="77777777" w:rsidR="003E237E" w:rsidRDefault="00E8102E" w:rsidP="00E8102E">
      <w:pPr>
        <w:ind w:firstLine="708"/>
        <w:jc w:val="both"/>
        <w:rPr>
          <w:rFonts w:ascii="Verdana" w:hAnsi="Verdana" w:cs="Tahoma"/>
        </w:rPr>
      </w:pPr>
      <w:r>
        <w:rPr>
          <w:rFonts w:ascii="Verdana" w:hAnsi="Verdana" w:cs="Tahoma"/>
        </w:rPr>
        <w:t>La modificación que se somete a su consideración no modifica la producción ni la extensión del impacto del proyecto</w:t>
      </w:r>
      <w:r w:rsidR="003E237E">
        <w:rPr>
          <w:rFonts w:ascii="Verdana" w:hAnsi="Verdana" w:cs="Tahoma"/>
        </w:rPr>
        <w:t xml:space="preserve"> calificado ambientalmente favorable por la RCA N°465/2013</w:t>
      </w:r>
      <w:r>
        <w:rPr>
          <w:rFonts w:ascii="Verdana" w:hAnsi="Verdana" w:cs="Tahoma"/>
        </w:rPr>
        <w:t>, puesto que la Planta de Tratamiento de RILes</w:t>
      </w:r>
      <w:r w:rsidR="003E237E">
        <w:rPr>
          <w:rFonts w:ascii="Verdana" w:hAnsi="Verdana" w:cs="Tahoma"/>
        </w:rPr>
        <w:t>, desde su aprobación,</w:t>
      </w:r>
      <w:r>
        <w:rPr>
          <w:rFonts w:ascii="Verdana" w:hAnsi="Verdana" w:cs="Tahoma"/>
        </w:rPr>
        <w:t xml:space="preserve"> ha </w:t>
      </w:r>
      <w:r w:rsidR="003E237E">
        <w:rPr>
          <w:rFonts w:ascii="Verdana" w:hAnsi="Verdana" w:cs="Tahoma"/>
        </w:rPr>
        <w:t>operado dentro de los parámetros de diseño promedio y máximo sin ser estos superados, por lo tanto sin</w:t>
      </w:r>
      <w:r>
        <w:rPr>
          <w:rFonts w:ascii="Verdana" w:hAnsi="Verdana" w:cs="Tahoma"/>
        </w:rPr>
        <w:t xml:space="preserve"> genera</w:t>
      </w:r>
      <w:r w:rsidR="003E237E">
        <w:rPr>
          <w:rFonts w:ascii="Verdana" w:hAnsi="Verdana" w:cs="Tahoma"/>
        </w:rPr>
        <w:t>r</w:t>
      </w:r>
      <w:r>
        <w:rPr>
          <w:rFonts w:ascii="Verdana" w:hAnsi="Verdana" w:cs="Tahoma"/>
        </w:rPr>
        <w:t xml:space="preserve"> efectos negativos en el medio ambiente. </w:t>
      </w:r>
    </w:p>
    <w:p w14:paraId="4DDB3F0C" w14:textId="77777777" w:rsidR="00F07BF4" w:rsidRDefault="003E237E" w:rsidP="00E8102E">
      <w:pPr>
        <w:ind w:firstLine="708"/>
        <w:jc w:val="both"/>
        <w:rPr>
          <w:rFonts w:ascii="Verdana" w:hAnsi="Verdana" w:cs="Tahoma"/>
        </w:rPr>
      </w:pPr>
      <w:r>
        <w:rPr>
          <w:rFonts w:ascii="Verdana" w:hAnsi="Verdana" w:cs="Tahoma"/>
        </w:rPr>
        <w:t xml:space="preserve">Reiteramos que la modificación que se propone no altera los </w:t>
      </w:r>
      <w:r w:rsidR="009A0B7D">
        <w:rPr>
          <w:rFonts w:ascii="Verdana" w:hAnsi="Verdana" w:cs="Tahoma"/>
        </w:rPr>
        <w:t xml:space="preserve">parámetros </w:t>
      </w:r>
      <w:r>
        <w:rPr>
          <w:rFonts w:ascii="Verdana" w:hAnsi="Verdana" w:cs="Tahoma"/>
        </w:rPr>
        <w:t xml:space="preserve">diseño </w:t>
      </w:r>
      <w:r w:rsidR="009A0B7D">
        <w:rPr>
          <w:rFonts w:ascii="Verdana" w:hAnsi="Verdana" w:cs="Tahoma"/>
        </w:rPr>
        <w:t>de funcionamiento de la Planta</w:t>
      </w:r>
      <w:r>
        <w:rPr>
          <w:rFonts w:ascii="Verdana" w:hAnsi="Verdana" w:cs="Tahoma"/>
        </w:rPr>
        <w:t xml:space="preserve"> de Tratamiento de Riles</w:t>
      </w:r>
      <w:r w:rsidR="009A0B7D">
        <w:rPr>
          <w:rFonts w:ascii="Verdana" w:hAnsi="Verdana" w:cs="Tahoma"/>
        </w:rPr>
        <w:t xml:space="preserve">, </w:t>
      </w:r>
      <w:r>
        <w:rPr>
          <w:rFonts w:ascii="Verdana" w:hAnsi="Verdana" w:cs="Tahoma"/>
        </w:rPr>
        <w:t>por lo que no se observa la</w:t>
      </w:r>
      <w:r w:rsidR="009A0B7D">
        <w:rPr>
          <w:rFonts w:ascii="Verdana" w:hAnsi="Verdana" w:cs="Tahoma"/>
        </w:rPr>
        <w:t xml:space="preserve"> genera</w:t>
      </w:r>
      <w:r>
        <w:rPr>
          <w:rFonts w:ascii="Verdana" w:hAnsi="Verdana" w:cs="Tahoma"/>
        </w:rPr>
        <w:t>ción de</w:t>
      </w:r>
      <w:r w:rsidR="009A0B7D">
        <w:rPr>
          <w:rFonts w:ascii="Verdana" w:hAnsi="Verdana" w:cs="Tahoma"/>
        </w:rPr>
        <w:t xml:space="preserve"> impactos adicionales en el área. </w:t>
      </w:r>
    </w:p>
    <w:p w14:paraId="6F0E7DA8" w14:textId="77777777" w:rsidR="009A0B7D" w:rsidRDefault="003E237E" w:rsidP="006F1260">
      <w:pPr>
        <w:jc w:val="both"/>
        <w:rPr>
          <w:rFonts w:ascii="Verdana" w:hAnsi="Verdana"/>
          <w:i/>
        </w:rPr>
      </w:pPr>
      <w:r w:rsidRPr="006F1260">
        <w:rPr>
          <w:rFonts w:ascii="Verdana" w:hAnsi="Verdana"/>
          <w:b/>
        </w:rPr>
        <w:t>d)</w:t>
      </w:r>
      <w:r>
        <w:rPr>
          <w:rFonts w:ascii="Verdana" w:hAnsi="Verdana"/>
          <w:i/>
        </w:rPr>
        <w:tab/>
      </w:r>
      <w:r w:rsidR="009A0B7D" w:rsidRPr="00BB70FB">
        <w:rPr>
          <w:rFonts w:ascii="Verdana" w:hAnsi="Verdana"/>
          <w:i/>
        </w:rPr>
        <w:t>g.4. Las medidas de mitigación, reparación y compensación para hacerse cargo de los impactos significativos de un proyecto o actividad calificado ambientalmente, se ven modificadas sustantivamente</w:t>
      </w:r>
      <w:r w:rsidR="009A0B7D">
        <w:rPr>
          <w:rFonts w:ascii="Verdana" w:hAnsi="Verdana"/>
          <w:i/>
        </w:rPr>
        <w:t>.</w:t>
      </w:r>
    </w:p>
    <w:p w14:paraId="19F78F1E" w14:textId="77777777" w:rsidR="009A0B7D" w:rsidRDefault="00626C08" w:rsidP="009A0B7D">
      <w:pPr>
        <w:ind w:firstLine="708"/>
        <w:jc w:val="both"/>
        <w:rPr>
          <w:rFonts w:ascii="Verdana" w:hAnsi="Verdana"/>
        </w:rPr>
      </w:pPr>
      <w:r>
        <w:rPr>
          <w:rFonts w:ascii="Verdana" w:hAnsi="Verdana"/>
        </w:rPr>
        <w:t>La modificación propuesta</w:t>
      </w:r>
      <w:r w:rsidR="009A0B7D">
        <w:rPr>
          <w:rFonts w:ascii="Verdana" w:hAnsi="Verdana"/>
        </w:rPr>
        <w:t xml:space="preserve"> no </w:t>
      </w:r>
      <w:r>
        <w:rPr>
          <w:rFonts w:ascii="Verdana" w:hAnsi="Verdana"/>
        </w:rPr>
        <w:t xml:space="preserve">afecta </w:t>
      </w:r>
      <w:r w:rsidR="009A0B7D">
        <w:rPr>
          <w:rFonts w:ascii="Verdana" w:hAnsi="Verdana"/>
        </w:rPr>
        <w:t>la naturaleza esencial del proyecto y por tanto no implica la necesidad de implementar medidas de mitigación y compensación adicionales para hacerse cargo de los impactos del proyecto, de acuerdo a lo evaluado</w:t>
      </w:r>
      <w:r w:rsidR="00EF5FEC">
        <w:rPr>
          <w:rFonts w:ascii="Verdana" w:hAnsi="Verdana"/>
        </w:rPr>
        <w:t xml:space="preserve"> y aprobado</w:t>
      </w:r>
      <w:r w:rsidR="009A0B7D">
        <w:rPr>
          <w:rFonts w:ascii="Verdana" w:hAnsi="Verdana"/>
        </w:rPr>
        <w:t xml:space="preserve"> previamente. </w:t>
      </w:r>
    </w:p>
    <w:p w14:paraId="493A39C1" w14:textId="77777777" w:rsidR="009A0B7D" w:rsidRDefault="00626C08" w:rsidP="006F1260">
      <w:pPr>
        <w:jc w:val="both"/>
        <w:rPr>
          <w:rFonts w:ascii="Verdana" w:hAnsi="Verdana"/>
        </w:rPr>
      </w:pPr>
      <w:r w:rsidRPr="006F1260">
        <w:rPr>
          <w:rFonts w:ascii="Verdana" w:hAnsi="Verdana"/>
          <w:b/>
        </w:rPr>
        <w:t>e)</w:t>
      </w:r>
      <w:r>
        <w:rPr>
          <w:rFonts w:ascii="Verdana" w:hAnsi="Verdana"/>
        </w:rPr>
        <w:tab/>
      </w:r>
      <w:r w:rsidR="009A0B7D">
        <w:rPr>
          <w:rFonts w:ascii="Verdana" w:hAnsi="Verdana"/>
        </w:rPr>
        <w:t xml:space="preserve">Finalmente, el referido literal g) del artículo 2 del Decreto Supremo 40/2012 </w:t>
      </w:r>
      <w:r>
        <w:rPr>
          <w:rFonts w:ascii="Verdana" w:hAnsi="Verdana"/>
        </w:rPr>
        <w:t>señala que</w:t>
      </w:r>
      <w:r w:rsidR="009A0B7D">
        <w:rPr>
          <w:rFonts w:ascii="Verdana" w:hAnsi="Verdana"/>
        </w:rPr>
        <w:t>: “</w:t>
      </w:r>
      <w:r w:rsidR="009A0B7D" w:rsidRPr="009A0B7D">
        <w:rPr>
          <w:rFonts w:ascii="Verdana" w:hAnsi="Verdana"/>
          <w:i/>
        </w:rPr>
        <w:t>Para efectos de los casos anteriores, se considerarán los cambios sucesivos que haya sufrido el proyecto o actividad desde la entrada en vigencia del sistema de evaluación de impacto ambiental</w:t>
      </w:r>
      <w:r w:rsidR="009A0B7D" w:rsidRPr="009A0B7D">
        <w:rPr>
          <w:rFonts w:ascii="Verdana" w:hAnsi="Verdana"/>
        </w:rPr>
        <w:t>”.</w:t>
      </w:r>
    </w:p>
    <w:p w14:paraId="59C6825E" w14:textId="77777777" w:rsidR="00927494" w:rsidRDefault="00927494" w:rsidP="00AF3F08">
      <w:pPr>
        <w:ind w:firstLine="708"/>
        <w:jc w:val="both"/>
        <w:rPr>
          <w:rFonts w:ascii="Verdana" w:hAnsi="Verdana" w:cs="Tahoma"/>
        </w:rPr>
      </w:pPr>
      <w:r>
        <w:rPr>
          <w:rFonts w:ascii="Verdana" w:hAnsi="Verdana"/>
        </w:rPr>
        <w:t xml:space="preserve">El proyecto </w:t>
      </w:r>
      <w:r w:rsidR="0046009E">
        <w:rPr>
          <w:rFonts w:ascii="Verdana" w:hAnsi="Verdana"/>
        </w:rPr>
        <w:t>c</w:t>
      </w:r>
      <w:r>
        <w:rPr>
          <w:rFonts w:ascii="Verdana" w:hAnsi="Verdana"/>
        </w:rPr>
        <w:t xml:space="preserve">alificado ambientalmente favorable por la RCA N°465/2013 ha </w:t>
      </w:r>
      <w:r w:rsidR="00EF5FEC">
        <w:rPr>
          <w:rFonts w:ascii="Verdana" w:hAnsi="Verdana"/>
        </w:rPr>
        <w:t>sido</w:t>
      </w:r>
      <w:r>
        <w:rPr>
          <w:rFonts w:ascii="Verdana" w:hAnsi="Verdana"/>
        </w:rPr>
        <w:t xml:space="preserve"> objeto de dos consultas de pertinencia previas, ninguna de las cuales ha sido considerado un cambio de consideración ni dice relación con la eliminación del párrafo que se solicita:</w:t>
      </w:r>
    </w:p>
    <w:p w14:paraId="2F844783" w14:textId="77777777" w:rsidR="00927494" w:rsidRPr="006F1260" w:rsidRDefault="00927494" w:rsidP="006F1260">
      <w:pPr>
        <w:pStyle w:val="Prrafodelista"/>
        <w:numPr>
          <w:ilvl w:val="0"/>
          <w:numId w:val="1"/>
        </w:numPr>
        <w:jc w:val="both"/>
        <w:rPr>
          <w:rFonts w:ascii="Verdana" w:hAnsi="Verdana" w:cs="Tahoma"/>
        </w:rPr>
      </w:pPr>
      <w:r w:rsidRPr="006F1260">
        <w:rPr>
          <w:rFonts w:ascii="Verdana" w:hAnsi="Verdana" w:cs="Tahoma"/>
        </w:rPr>
        <w:lastRenderedPageBreak/>
        <w:t>Carta de 8 de agosto de 2014 en virtud de la cual se solicitó evaluar la modificación de la cantidad de almacenamiento y consumo de sustancias químicas y respecto de cambiar la periodicidad del análisis de composición de lodos obtenidos del sistema de tratamiento de Riles. Por Resolución N°262 de 12 de mayo de 2015 del Servicio de Evaluación Ambiental se indicó que estas modificaciones no requerían ingresar al Sistema de Evaluación Ambiental.</w:t>
      </w:r>
    </w:p>
    <w:p w14:paraId="00B82DA2" w14:textId="77777777" w:rsidR="00AF3F08" w:rsidRPr="006F1260" w:rsidRDefault="00927494" w:rsidP="006F1260">
      <w:pPr>
        <w:pStyle w:val="Prrafodelista"/>
        <w:numPr>
          <w:ilvl w:val="0"/>
          <w:numId w:val="1"/>
        </w:numPr>
        <w:jc w:val="both"/>
        <w:rPr>
          <w:rFonts w:ascii="Verdana" w:hAnsi="Verdana" w:cs="Tahoma"/>
        </w:rPr>
      </w:pPr>
      <w:r>
        <w:rPr>
          <w:rFonts w:ascii="Verdana" w:hAnsi="Verdana" w:cs="Tahoma"/>
        </w:rPr>
        <w:t>Carta de 9 de marzo de 2017 en virtud de la cual se solicitó evaluar la pertinencia de ingreso al Sistema de Evaluación ambiental del proyecto Obras menores y mejoras en la operación de la Planta de Tratamiento de Riles Aconcagua Foods S.A. Por Resolución N°245 de 1 de junio de 2017 de este Servicio se concluyó que dicho proyecto no requería ingresar obligatoriamente al Sistema de Evaluación Ambiental.</w:t>
      </w:r>
      <w:r w:rsidR="00094A3B" w:rsidRPr="006F1260">
        <w:rPr>
          <w:rFonts w:ascii="Verdana" w:hAnsi="Verdana" w:cs="Tahoma"/>
        </w:rPr>
        <w:t xml:space="preserve"> </w:t>
      </w:r>
    </w:p>
    <w:p w14:paraId="34BB4671" w14:textId="77777777" w:rsidR="00094A3B" w:rsidRDefault="00094A3B" w:rsidP="00AF3F08">
      <w:pPr>
        <w:ind w:firstLine="708"/>
        <w:jc w:val="both"/>
        <w:rPr>
          <w:rFonts w:ascii="Verdana" w:hAnsi="Verdana" w:cs="Tahoma"/>
        </w:rPr>
      </w:pPr>
      <w:r>
        <w:rPr>
          <w:rFonts w:ascii="Verdana" w:hAnsi="Verdana" w:cs="Tahoma"/>
        </w:rPr>
        <w:t xml:space="preserve">La </w:t>
      </w:r>
      <w:r w:rsidR="00927494">
        <w:rPr>
          <w:rFonts w:ascii="Verdana" w:hAnsi="Verdana" w:cs="Tahoma"/>
        </w:rPr>
        <w:t xml:space="preserve">eliminación </w:t>
      </w:r>
      <w:r>
        <w:rPr>
          <w:rFonts w:ascii="Verdana" w:hAnsi="Verdana" w:cs="Tahoma"/>
        </w:rPr>
        <w:t xml:space="preserve">propuesta no conlleva modificaciones </w:t>
      </w:r>
      <w:r w:rsidR="00927494">
        <w:rPr>
          <w:rFonts w:ascii="Verdana" w:hAnsi="Verdana" w:cs="Tahoma"/>
        </w:rPr>
        <w:t xml:space="preserve">significativas </w:t>
      </w:r>
      <w:r>
        <w:rPr>
          <w:rFonts w:ascii="Verdana" w:hAnsi="Verdana" w:cs="Tahoma"/>
        </w:rPr>
        <w:t xml:space="preserve">en el funcionamiento de la Planta de Tratamiento, </w:t>
      </w:r>
      <w:r w:rsidR="0046009E">
        <w:rPr>
          <w:rFonts w:ascii="Verdana" w:hAnsi="Verdana" w:cs="Tahoma"/>
        </w:rPr>
        <w:t>ni dice relación con consultas de pertinencias previas.</w:t>
      </w:r>
      <w:r>
        <w:rPr>
          <w:rFonts w:ascii="Verdana" w:hAnsi="Verdana" w:cs="Tahoma"/>
        </w:rPr>
        <w:t xml:space="preserve"> </w:t>
      </w:r>
    </w:p>
    <w:p w14:paraId="0F8A2570" w14:textId="77777777" w:rsidR="007F4B8A" w:rsidRDefault="007F4B8A" w:rsidP="00EF5FEC">
      <w:pPr>
        <w:ind w:left="705" w:hanging="705"/>
        <w:jc w:val="both"/>
        <w:rPr>
          <w:rFonts w:ascii="Verdana" w:hAnsi="Verdana" w:cs="Tahoma"/>
          <w:b/>
        </w:rPr>
      </w:pPr>
    </w:p>
    <w:p w14:paraId="41CAE422" w14:textId="77777777" w:rsidR="00B50C03" w:rsidRDefault="00B50C03" w:rsidP="00EF5FEC">
      <w:pPr>
        <w:ind w:left="705" w:hanging="705"/>
        <w:jc w:val="both"/>
        <w:rPr>
          <w:rFonts w:ascii="Verdana" w:hAnsi="Verdana" w:cs="Tahoma"/>
          <w:b/>
          <w:u w:val="single"/>
        </w:rPr>
      </w:pPr>
      <w:r w:rsidRPr="00EF5FEC">
        <w:rPr>
          <w:rFonts w:ascii="Verdana" w:hAnsi="Verdana" w:cs="Tahoma"/>
          <w:b/>
        </w:rPr>
        <w:t>II.</w:t>
      </w:r>
      <w:r w:rsidRPr="00EF5FEC">
        <w:rPr>
          <w:rFonts w:ascii="Verdana" w:hAnsi="Verdana" w:cs="Tahoma"/>
          <w:b/>
        </w:rPr>
        <w:tab/>
      </w:r>
      <w:r w:rsidRPr="00EF5FEC">
        <w:rPr>
          <w:rFonts w:ascii="Verdana" w:hAnsi="Verdana" w:cs="Tahoma"/>
          <w:b/>
          <w:u w:val="single"/>
        </w:rPr>
        <w:t>EN RELACIÓN AL NÚMERO DE CONTENEDORES</w:t>
      </w:r>
      <w:r w:rsidR="001B4957">
        <w:rPr>
          <w:rFonts w:ascii="Verdana" w:hAnsi="Verdana" w:cs="Tahoma"/>
          <w:b/>
          <w:u w:val="single"/>
        </w:rPr>
        <w:t xml:space="preserve"> Y HUMEDAD</w:t>
      </w:r>
      <w:r w:rsidRPr="00EF5FEC">
        <w:rPr>
          <w:rFonts w:ascii="Verdana" w:hAnsi="Verdana" w:cs="Tahoma"/>
          <w:b/>
          <w:u w:val="single"/>
        </w:rPr>
        <w:t xml:space="preserve"> DE LODOS PROVENIENTES DE LA PLANTA DE TRATAMIENTO DE RILES.</w:t>
      </w:r>
    </w:p>
    <w:p w14:paraId="1F9ED584" w14:textId="77777777" w:rsidR="00EF5FEC" w:rsidRPr="00583D75" w:rsidRDefault="00EF5FEC" w:rsidP="00EF5FEC">
      <w:pPr>
        <w:ind w:left="705" w:hanging="705"/>
        <w:jc w:val="both"/>
        <w:rPr>
          <w:rFonts w:ascii="Verdana" w:hAnsi="Verdana" w:cs="Tahoma"/>
          <w:u w:val="single"/>
        </w:rPr>
      </w:pPr>
      <w:r w:rsidRPr="00583D75">
        <w:rPr>
          <w:rFonts w:ascii="Verdana" w:hAnsi="Verdana" w:cs="Tahoma"/>
          <w:b/>
        </w:rPr>
        <w:t>1.</w:t>
      </w:r>
      <w:r>
        <w:rPr>
          <w:rFonts w:ascii="Verdana" w:hAnsi="Verdana" w:cs="Tahoma"/>
        </w:rPr>
        <w:tab/>
      </w:r>
      <w:r w:rsidRPr="00583D75">
        <w:rPr>
          <w:rFonts w:ascii="Verdana" w:hAnsi="Verdana" w:cs="Tahoma"/>
          <w:u w:val="single"/>
        </w:rPr>
        <w:t>Contenido de la RCA N°465/2013 en relación a los lodos</w:t>
      </w:r>
      <w:r w:rsidR="001B4957">
        <w:rPr>
          <w:rFonts w:ascii="Verdana" w:hAnsi="Verdana" w:cs="Tahoma"/>
          <w:u w:val="single"/>
        </w:rPr>
        <w:t xml:space="preserve"> provenientes de la Planta de Tratamiento de Riles</w:t>
      </w:r>
      <w:r w:rsidRPr="00583D75">
        <w:rPr>
          <w:rFonts w:ascii="Verdana" w:hAnsi="Verdana" w:cs="Tahoma"/>
          <w:u w:val="single"/>
        </w:rPr>
        <w:t>.</w:t>
      </w:r>
    </w:p>
    <w:p w14:paraId="2B71ECFD" w14:textId="77777777" w:rsidR="00EF5FEC" w:rsidRDefault="00EF5FEC" w:rsidP="00EF5FEC">
      <w:pPr>
        <w:jc w:val="both"/>
        <w:rPr>
          <w:rFonts w:ascii="Verdana" w:hAnsi="Verdana" w:cs="Tahoma"/>
        </w:rPr>
      </w:pPr>
      <w:r>
        <w:rPr>
          <w:rFonts w:ascii="Verdana" w:hAnsi="Verdana" w:cs="Tahoma"/>
        </w:rPr>
        <w:tab/>
        <w:t xml:space="preserve">La segunda modificación que se solicita es aquella que dice relación con el número de contenedores de lodos </w:t>
      </w:r>
      <w:r w:rsidR="001B4957">
        <w:rPr>
          <w:rFonts w:ascii="Verdana" w:hAnsi="Verdana" w:cs="Tahoma"/>
        </w:rPr>
        <w:t xml:space="preserve">y el porcentaje de humedad de estos </w:t>
      </w:r>
      <w:r>
        <w:rPr>
          <w:rFonts w:ascii="Verdana" w:hAnsi="Verdana" w:cs="Tahoma"/>
        </w:rPr>
        <w:t>descritos en la RCA N°465/2013.</w:t>
      </w:r>
    </w:p>
    <w:p w14:paraId="4C9D7D0D" w14:textId="77777777" w:rsidR="00EF5FEC" w:rsidRDefault="00EF5FEC" w:rsidP="00EF5FEC">
      <w:pPr>
        <w:jc w:val="both"/>
        <w:rPr>
          <w:rFonts w:ascii="Verdana" w:hAnsi="Verdana" w:cs="Tahoma"/>
        </w:rPr>
      </w:pPr>
      <w:r>
        <w:rPr>
          <w:rFonts w:ascii="Verdana" w:hAnsi="Verdana" w:cs="Tahoma"/>
        </w:rPr>
        <w:tab/>
        <w:t xml:space="preserve">El parágrafo 3.2.6 “Caracterización y Cuantificación de los Residuos en Fase de Operación”, señala </w:t>
      </w:r>
      <w:r w:rsidR="00583D75">
        <w:rPr>
          <w:rFonts w:ascii="Verdana" w:hAnsi="Verdana" w:cs="Tahoma"/>
        </w:rPr>
        <w:t xml:space="preserve">en el punto c.1. “Generación de Lodos” </w:t>
      </w:r>
      <w:r>
        <w:rPr>
          <w:rFonts w:ascii="Verdana" w:hAnsi="Verdana" w:cs="Tahoma"/>
        </w:rPr>
        <w:t>que para los lodos generados, el Proyecto considera las mismas medidas de manejo declaradas en la RCA N°385/2007, vale decir:</w:t>
      </w:r>
    </w:p>
    <w:p w14:paraId="50D33F14" w14:textId="77777777" w:rsidR="00EF5FEC" w:rsidRDefault="00EF5FEC" w:rsidP="001B4957">
      <w:pPr>
        <w:ind w:left="705" w:right="866"/>
        <w:jc w:val="both"/>
        <w:rPr>
          <w:rFonts w:ascii="Verdana" w:hAnsi="Verdana" w:cs="Tahoma"/>
        </w:rPr>
      </w:pPr>
      <w:r>
        <w:rPr>
          <w:rFonts w:ascii="Verdana" w:hAnsi="Verdana" w:cs="Tahoma"/>
        </w:rPr>
        <w:t>“i. Los lodos serán conducidos hasta la centrífuga pieralisi, el proceso mecánico consistirá en deshidratar y reducir los niveles de humedad del lodo, resultando un lodo con un 80% de humedad. (…)</w:t>
      </w:r>
    </w:p>
    <w:p w14:paraId="5327B68F" w14:textId="77777777" w:rsidR="00EF5FEC" w:rsidRDefault="00EF5FEC" w:rsidP="001B4957">
      <w:pPr>
        <w:ind w:left="705" w:right="866"/>
        <w:jc w:val="both"/>
        <w:rPr>
          <w:rFonts w:ascii="Verdana" w:hAnsi="Verdana" w:cs="Tahoma"/>
        </w:rPr>
      </w:pPr>
      <w:r>
        <w:rPr>
          <w:rFonts w:ascii="Verdana" w:hAnsi="Verdana" w:cs="Tahoma"/>
        </w:rPr>
        <w:t>iii. A plena carga (entre los meses de diciembre y marzo), la planta evacuará</w:t>
      </w:r>
      <w:r w:rsidR="00583D75">
        <w:rPr>
          <w:rFonts w:ascii="Verdana" w:hAnsi="Verdana" w:cs="Tahoma"/>
        </w:rPr>
        <w:t xml:space="preserve"> 3 a 4 contenedores diarios (de 12 m3 cada uno), durante 7 días a la semana, los que serán trasladados por camiones aprobados por la Autoridad Sanitaria.”</w:t>
      </w:r>
    </w:p>
    <w:p w14:paraId="3593730D" w14:textId="28C0F818" w:rsidR="001B4957" w:rsidRDefault="001B4957" w:rsidP="001B4957">
      <w:pPr>
        <w:tabs>
          <w:tab w:val="left" w:pos="10065"/>
        </w:tabs>
        <w:ind w:right="15" w:firstLine="705"/>
        <w:jc w:val="both"/>
        <w:rPr>
          <w:rFonts w:ascii="Verdana" w:hAnsi="Verdana" w:cs="Tahoma"/>
        </w:rPr>
      </w:pPr>
      <w:r>
        <w:rPr>
          <w:rFonts w:ascii="Verdana" w:hAnsi="Verdana" w:cs="Tahoma"/>
        </w:rPr>
        <w:lastRenderedPageBreak/>
        <w:t>De acuerdo a los análisis realizados por Aconcagua Foods y los registros de operación con que cuenta de la temporada 2019, el porcentaje de humedad de los lodos provenientes de la Planta de Tratamiento</w:t>
      </w:r>
      <w:r w:rsidR="00E07248">
        <w:rPr>
          <w:rFonts w:ascii="Verdana" w:hAnsi="Verdana" w:cs="Tahoma"/>
        </w:rPr>
        <w:t xml:space="preserve"> </w:t>
      </w:r>
      <w:r w:rsidR="00C26B9B">
        <w:rPr>
          <w:rFonts w:ascii="Verdana" w:hAnsi="Verdana" w:cs="Tahoma"/>
        </w:rPr>
        <w:t>varía entre un 81% y</w:t>
      </w:r>
      <w:r w:rsidR="00E07248">
        <w:rPr>
          <w:rFonts w:ascii="Verdana" w:hAnsi="Verdana" w:cs="Tahoma"/>
        </w:rPr>
        <w:t xml:space="preserve"> 89,9%.</w:t>
      </w:r>
      <w:r>
        <w:rPr>
          <w:rFonts w:ascii="Verdana" w:hAnsi="Verdana" w:cs="Tahoma"/>
        </w:rPr>
        <w:t xml:space="preserve"> </w:t>
      </w:r>
    </w:p>
    <w:p w14:paraId="74B19129" w14:textId="77777777" w:rsidR="000A11B8" w:rsidRDefault="000A11B8" w:rsidP="001B4957">
      <w:pPr>
        <w:tabs>
          <w:tab w:val="left" w:pos="10065"/>
        </w:tabs>
        <w:ind w:right="15" w:firstLine="705"/>
        <w:jc w:val="both"/>
        <w:rPr>
          <w:rFonts w:ascii="Verdana" w:hAnsi="Verdana" w:cs="Tahoma"/>
        </w:rPr>
      </w:pPr>
    </w:p>
    <w:p w14:paraId="5B1AD11F" w14:textId="77777777" w:rsidR="001B4957" w:rsidRDefault="001B4957" w:rsidP="001B4957">
      <w:pPr>
        <w:ind w:right="866"/>
        <w:jc w:val="both"/>
        <w:rPr>
          <w:rFonts w:ascii="Verdana" w:hAnsi="Verdana" w:cs="Tahoma"/>
          <w:u w:val="single"/>
        </w:rPr>
      </w:pPr>
      <w:r w:rsidRPr="00210B7F">
        <w:rPr>
          <w:rFonts w:ascii="Verdana" w:hAnsi="Verdana" w:cs="Tahoma"/>
          <w:b/>
        </w:rPr>
        <w:t>2.</w:t>
      </w:r>
      <w:r>
        <w:rPr>
          <w:rFonts w:ascii="Verdana" w:hAnsi="Verdana" w:cs="Tahoma"/>
        </w:rPr>
        <w:tab/>
      </w:r>
      <w:r w:rsidRPr="00210B7F">
        <w:rPr>
          <w:rFonts w:ascii="Verdana" w:hAnsi="Verdana" w:cs="Tahoma"/>
          <w:u w:val="single"/>
        </w:rPr>
        <w:t>Situación actual de</w:t>
      </w:r>
      <w:r w:rsidR="00E317F5">
        <w:rPr>
          <w:rFonts w:ascii="Verdana" w:hAnsi="Verdana" w:cs="Tahoma"/>
          <w:u w:val="single"/>
        </w:rPr>
        <w:t xml:space="preserve"> la regulación de</w:t>
      </w:r>
      <w:r w:rsidRPr="00210B7F">
        <w:rPr>
          <w:rFonts w:ascii="Verdana" w:hAnsi="Verdana" w:cs="Tahoma"/>
          <w:u w:val="single"/>
        </w:rPr>
        <w:t xml:space="preserve"> los lodos provenientes de la industria hortofrutícola</w:t>
      </w:r>
      <w:r w:rsidR="00210B7F" w:rsidRPr="00210B7F">
        <w:rPr>
          <w:rFonts w:ascii="Verdana" w:hAnsi="Verdana" w:cs="Tahoma"/>
          <w:u w:val="single"/>
        </w:rPr>
        <w:t>.</w:t>
      </w:r>
    </w:p>
    <w:p w14:paraId="2ED57C96" w14:textId="77777777" w:rsidR="00210B7F" w:rsidRDefault="00210B7F" w:rsidP="00501BF5">
      <w:pPr>
        <w:ind w:right="15"/>
        <w:jc w:val="both"/>
        <w:rPr>
          <w:rFonts w:ascii="Verdana" w:hAnsi="Verdana" w:cs="Tahoma"/>
        </w:rPr>
      </w:pPr>
      <w:r>
        <w:rPr>
          <w:rFonts w:ascii="Verdana" w:hAnsi="Verdana" w:cs="Tahoma"/>
        </w:rPr>
        <w:tab/>
        <w:t>Actualmente está vigente en nuestro ordenamiento el Decreto Supremo N°3 de 2012 del Ministerio de Medio Ambiente (“DS N°3/2012”)</w:t>
      </w:r>
      <w:r w:rsidR="00AB0ECE">
        <w:rPr>
          <w:rFonts w:ascii="Verdana" w:hAnsi="Verdana" w:cs="Tahoma"/>
        </w:rPr>
        <w:t xml:space="preserve"> que aprueba el Reglamento para el manejo y uso de lodos provenientes de plantas de tratamientos de efluentes de la industria procesadora de frutos y hortalizas.</w:t>
      </w:r>
    </w:p>
    <w:p w14:paraId="4F1956AA" w14:textId="77777777" w:rsidR="00AB0ECE" w:rsidRDefault="00AB0ECE" w:rsidP="00501BF5">
      <w:pPr>
        <w:ind w:right="15"/>
        <w:jc w:val="both"/>
        <w:rPr>
          <w:rFonts w:ascii="Verdana" w:hAnsi="Verdana" w:cs="Tahoma"/>
        </w:rPr>
      </w:pPr>
      <w:r>
        <w:rPr>
          <w:rFonts w:ascii="Verdana" w:hAnsi="Verdana" w:cs="Tahoma"/>
        </w:rPr>
        <w:tab/>
        <w:t>En términos generales, se establece que con respecto al manejo sanitario de los lodos, estos deben ser estabilizados previo al almacenamiento, transporte y aplicación, alcanzando una reducción de al menos 38% de los sólidos volátiles y una humedad no más de 70% (artículo 4°).</w:t>
      </w:r>
    </w:p>
    <w:p w14:paraId="1A1E9F3D" w14:textId="77777777" w:rsidR="00AB0ECE" w:rsidRDefault="00AB0ECE" w:rsidP="00501BF5">
      <w:pPr>
        <w:ind w:right="15"/>
        <w:jc w:val="both"/>
        <w:rPr>
          <w:rFonts w:ascii="Verdana" w:hAnsi="Verdana" w:cs="Tahoma"/>
        </w:rPr>
      </w:pPr>
      <w:r>
        <w:rPr>
          <w:rFonts w:ascii="Verdana" w:hAnsi="Verdana" w:cs="Tahoma"/>
        </w:rPr>
        <w:tab/>
        <w:t>Sin embargo, según lo demuestra el Estudio sobre Normativa de Uso de Residuos Agroindustriales como Enmiendas de Suelos, elaborado por la Facultad de Agronomía e Ingeniería Forestal de la Pontificia Universidad Católica de Chile en marzo de 2014, a solicitud de ChileAlimentos A.G., de la cual Aconcagua Foods form</w:t>
      </w:r>
      <w:r w:rsidR="00E317F5">
        <w:rPr>
          <w:rFonts w:ascii="Verdana" w:hAnsi="Verdana" w:cs="Tahoma"/>
        </w:rPr>
        <w:t>a parte, la variabilidad de insumos y la dependencia de la estacionalidad de las principales fuentes generadoras de lodos de la industria hortofrutícola (conserva de duraznos, concentrado de tomates y congelados), hace que los lodos provenientes del tratamiento de esos procesos sean muy heterogéneos entre sí, donde los contenidos de humedad varían en forma importante estando, en general, por sobre la norma.</w:t>
      </w:r>
    </w:p>
    <w:p w14:paraId="23CF94B8" w14:textId="77777777" w:rsidR="00E317F5" w:rsidRDefault="00E317F5" w:rsidP="00501BF5">
      <w:pPr>
        <w:ind w:right="15"/>
        <w:jc w:val="both"/>
        <w:rPr>
          <w:rFonts w:ascii="Verdana" w:hAnsi="Verdana" w:cs="Tahoma"/>
        </w:rPr>
      </w:pPr>
      <w:r>
        <w:rPr>
          <w:rFonts w:ascii="Verdana" w:hAnsi="Verdana" w:cs="Tahoma"/>
        </w:rPr>
        <w:tab/>
      </w:r>
      <w:r w:rsidR="00BA00CB">
        <w:rPr>
          <w:rFonts w:ascii="Verdana" w:hAnsi="Verdana" w:cs="Tahoma"/>
        </w:rPr>
        <w:t xml:space="preserve">Esta dificultad de cumplimiento normativo </w:t>
      </w:r>
      <w:r w:rsidR="00DB7273">
        <w:rPr>
          <w:rFonts w:ascii="Verdana" w:hAnsi="Verdana" w:cs="Tahoma"/>
        </w:rPr>
        <w:t>se produce</w:t>
      </w:r>
      <w:r w:rsidR="00BA00CB">
        <w:rPr>
          <w:rFonts w:ascii="Verdana" w:hAnsi="Verdana" w:cs="Tahoma"/>
        </w:rPr>
        <w:t xml:space="preserve"> porque el DS N°3/2012 se basó en el reglamento y experiencias de uso de los lodos generados por las plantas de tratamiento de aguas servidas (biosólidos), </w:t>
      </w:r>
      <w:r w:rsidR="00DB7273">
        <w:rPr>
          <w:rFonts w:ascii="Verdana" w:hAnsi="Verdana" w:cs="Tahoma"/>
        </w:rPr>
        <w:t>los cuales no pueden ser asimilados a los lodos hortofrutícolas, ya que técnicamente los primeros varían de los segundos en que estos últimos son heterogéneos ya que derivan de diferentes materias primas y procesos industriales y, precisamente la normativa actual no reconoce la variabilidad o estacionalidad, extrapolando los riesgos que presentan los biosólidos.</w:t>
      </w:r>
    </w:p>
    <w:p w14:paraId="6D891B1A" w14:textId="77777777" w:rsidR="00DB7273" w:rsidRDefault="00DB7273" w:rsidP="00501BF5">
      <w:pPr>
        <w:ind w:right="15"/>
        <w:jc w:val="both"/>
        <w:rPr>
          <w:rFonts w:ascii="Verdana" w:hAnsi="Verdana" w:cs="Tahoma"/>
        </w:rPr>
      </w:pPr>
      <w:r>
        <w:rPr>
          <w:rFonts w:ascii="Verdana" w:hAnsi="Verdana" w:cs="Tahoma"/>
        </w:rPr>
        <w:tab/>
        <w:t>La caracterización de los lodos hortofrutícolas permite colegir que no existen riesgos o contingencias ambientales adicionales a las de otros residuos no peligrosos. Por ejemplo:</w:t>
      </w:r>
    </w:p>
    <w:p w14:paraId="3FE1A07E" w14:textId="77777777" w:rsidR="00DB7273" w:rsidRDefault="00DB7273" w:rsidP="00501BF5">
      <w:pPr>
        <w:pStyle w:val="Prrafodelista"/>
        <w:numPr>
          <w:ilvl w:val="0"/>
          <w:numId w:val="2"/>
        </w:numPr>
        <w:ind w:right="15"/>
        <w:jc w:val="both"/>
        <w:rPr>
          <w:rFonts w:ascii="Verdana" w:hAnsi="Verdana" w:cs="Tahoma"/>
        </w:rPr>
      </w:pPr>
      <w:r>
        <w:rPr>
          <w:rFonts w:ascii="Verdana" w:hAnsi="Verdana" w:cs="Tahoma"/>
        </w:rPr>
        <w:t>Con respecto a los sólidos volátiles, la presencia de estos en los lodos hortofrutícolas es nula o casi nula, por lo que este parámetro no debería ser un problema a considerar en el DS N°3/2012.</w:t>
      </w:r>
    </w:p>
    <w:p w14:paraId="4DD6D8EA" w14:textId="3DC09B4D" w:rsidR="00DB7273" w:rsidRDefault="00DB7273" w:rsidP="00501BF5">
      <w:pPr>
        <w:pStyle w:val="Prrafodelista"/>
        <w:numPr>
          <w:ilvl w:val="0"/>
          <w:numId w:val="2"/>
        </w:numPr>
        <w:ind w:right="15"/>
        <w:jc w:val="both"/>
        <w:rPr>
          <w:rFonts w:ascii="Verdana" w:hAnsi="Verdana" w:cs="Tahoma"/>
        </w:rPr>
      </w:pPr>
      <w:r>
        <w:rPr>
          <w:rFonts w:ascii="Verdana" w:hAnsi="Verdana" w:cs="Tahoma"/>
        </w:rPr>
        <w:lastRenderedPageBreak/>
        <w:t xml:space="preserve">En relación al contenido de humedad, el objetivo principal es reducir cualquier riesgo de lixiviación y arrastre de sedimentos. En este sentido, no existen evidencias científicas que limiten la aplicación de ellos a suelos agrícolas en base al contenido de humedad. Por el contrario, la información existente muestra la aplicación directa de lodos hortofrutícolas </w:t>
      </w:r>
      <w:r w:rsidR="006C534D">
        <w:rPr>
          <w:rFonts w:ascii="Verdana" w:hAnsi="Verdana" w:cs="Tahoma"/>
        </w:rPr>
        <w:t>e incluso de aplicaciones de Riles hortofrutícolas o suelos agrícolas.</w:t>
      </w:r>
    </w:p>
    <w:p w14:paraId="464C6C5D" w14:textId="77777777" w:rsidR="006C534D" w:rsidRDefault="006C534D" w:rsidP="00501BF5">
      <w:pPr>
        <w:pStyle w:val="Prrafodelista"/>
        <w:numPr>
          <w:ilvl w:val="0"/>
          <w:numId w:val="2"/>
        </w:numPr>
        <w:ind w:right="15"/>
        <w:jc w:val="both"/>
        <w:rPr>
          <w:rFonts w:ascii="Verdana" w:hAnsi="Verdana" w:cs="Tahoma"/>
        </w:rPr>
      </w:pPr>
      <w:r>
        <w:rPr>
          <w:rFonts w:ascii="Verdana" w:hAnsi="Verdana" w:cs="Tahoma"/>
        </w:rPr>
        <w:t>En el caso de los metales pesados</w:t>
      </w:r>
      <w:r w:rsidR="002F7539">
        <w:rPr>
          <w:rFonts w:ascii="Verdana" w:hAnsi="Verdana" w:cs="Tahoma"/>
        </w:rPr>
        <w:t>, se podría considerar la eliminación de este parámetro regulado ya que al ser residuos de productos generados dentro de una cadena de producción de alimentos, cumplen con la norma de producción de estos.</w:t>
      </w:r>
    </w:p>
    <w:p w14:paraId="7CE60013" w14:textId="77777777" w:rsidR="002F7539" w:rsidRDefault="002F7539" w:rsidP="00501BF5">
      <w:pPr>
        <w:ind w:right="15"/>
        <w:jc w:val="both"/>
        <w:rPr>
          <w:rFonts w:ascii="Verdana" w:hAnsi="Verdana" w:cs="Tahoma"/>
        </w:rPr>
      </w:pPr>
    </w:p>
    <w:p w14:paraId="1E9DE65F" w14:textId="77777777" w:rsidR="00AE6BA5" w:rsidRDefault="002F7539" w:rsidP="00501BF5">
      <w:pPr>
        <w:ind w:right="15" w:firstLine="708"/>
        <w:jc w:val="both"/>
        <w:rPr>
          <w:rFonts w:ascii="Verdana" w:hAnsi="Verdana" w:cs="Tahoma"/>
        </w:rPr>
      </w:pPr>
      <w:r>
        <w:rPr>
          <w:rFonts w:ascii="Verdana" w:hAnsi="Verdana" w:cs="Tahoma"/>
        </w:rPr>
        <w:t>Considerando estos antecedentes, ChileAlimentos ha realizado gestiones continuas desde el año 2006</w:t>
      </w:r>
      <w:r w:rsidR="006C57B2">
        <w:rPr>
          <w:rFonts w:ascii="Verdana" w:hAnsi="Verdana" w:cs="Tahoma"/>
        </w:rPr>
        <w:t xml:space="preserve"> para contar con una normativa que permita utilizar los lodos  provenientes del tratamiento de residuos líquidos industriales como mejoradores </w:t>
      </w:r>
      <w:r w:rsidR="00461AD7">
        <w:rPr>
          <w:rFonts w:ascii="Verdana" w:hAnsi="Verdana" w:cs="Tahoma"/>
        </w:rPr>
        <w:t xml:space="preserve">de suelos, sosteniendo distintas reuniones y participando en instancias de conversación para lograr la modificación del DS N°3/2012 en el sentido de eliminar la referencia al porcentaje de humedad y de reducción de sólidos volátiles de la norma, ya que su mantención </w:t>
      </w:r>
      <w:r w:rsidR="00AE6BA5">
        <w:rPr>
          <w:rFonts w:ascii="Verdana" w:hAnsi="Verdana" w:cs="Tahoma"/>
        </w:rPr>
        <w:t>provoca un constante incumplimiento de la industria al respecto, no obstante no existe un perjuicio sanitario o ambiental asociado</w:t>
      </w:r>
      <w:r w:rsidR="00461AD7">
        <w:rPr>
          <w:rFonts w:ascii="Verdana" w:hAnsi="Verdana" w:cs="Tahoma"/>
        </w:rPr>
        <w:t xml:space="preserve">. </w:t>
      </w:r>
    </w:p>
    <w:p w14:paraId="2A9B7B97" w14:textId="77777777" w:rsidR="007F4B8A" w:rsidRDefault="00461AD7" w:rsidP="00501BF5">
      <w:pPr>
        <w:ind w:right="15" w:firstLine="708"/>
        <w:jc w:val="both"/>
        <w:rPr>
          <w:rFonts w:ascii="Verdana" w:hAnsi="Verdana" w:cs="Tahoma"/>
        </w:rPr>
      </w:pPr>
      <w:r>
        <w:rPr>
          <w:rFonts w:ascii="Verdana" w:hAnsi="Verdana" w:cs="Tahoma"/>
        </w:rPr>
        <w:t xml:space="preserve">Luego </w:t>
      </w:r>
      <w:r w:rsidR="00AE6BA5">
        <w:rPr>
          <w:rFonts w:ascii="Verdana" w:hAnsi="Verdana" w:cs="Tahoma"/>
        </w:rPr>
        <w:t xml:space="preserve">de muchos años de trabajo y </w:t>
      </w:r>
      <w:r>
        <w:rPr>
          <w:rFonts w:ascii="Verdana" w:hAnsi="Verdana" w:cs="Tahoma"/>
        </w:rPr>
        <w:t>distintas administraciones involucradas</w:t>
      </w:r>
      <w:r w:rsidR="00AE6BA5">
        <w:rPr>
          <w:rFonts w:ascii="Verdana" w:hAnsi="Verdana" w:cs="Tahoma"/>
        </w:rPr>
        <w:t>, y de la última reunión sostenida con el Subsecretario de Medio Ambiente quien comprometió la modificación del DS N°3/2012 para fines de este año, se presentó formalmente la solicitud por parte de ChileAlimentos, en el sentido de eliminar el artículo 4°</w:t>
      </w:r>
      <w:r w:rsidR="007F4B8A">
        <w:rPr>
          <w:rFonts w:ascii="Verdana" w:hAnsi="Verdana" w:cs="Tahoma"/>
        </w:rPr>
        <w:t>, el pasado 23 de abril, cuya copia se acompaña a esta presentación</w:t>
      </w:r>
      <w:r w:rsidR="00AE6BA5">
        <w:rPr>
          <w:rFonts w:ascii="Verdana" w:hAnsi="Verdana" w:cs="Tahoma"/>
        </w:rPr>
        <w:t>.</w:t>
      </w:r>
    </w:p>
    <w:p w14:paraId="29E128B9" w14:textId="77777777" w:rsidR="007F4B8A" w:rsidRDefault="007F4B8A" w:rsidP="00501BF5">
      <w:pPr>
        <w:ind w:right="15"/>
        <w:jc w:val="both"/>
        <w:rPr>
          <w:rFonts w:ascii="Verdana" w:hAnsi="Verdana" w:cs="Tahoma"/>
        </w:rPr>
      </w:pPr>
      <w:r w:rsidRPr="001C06AE">
        <w:rPr>
          <w:rFonts w:ascii="Verdana" w:hAnsi="Verdana" w:cs="Tahoma"/>
          <w:b/>
        </w:rPr>
        <w:t>3.</w:t>
      </w:r>
      <w:r>
        <w:rPr>
          <w:rFonts w:ascii="Verdana" w:hAnsi="Verdana" w:cs="Tahoma"/>
        </w:rPr>
        <w:tab/>
      </w:r>
      <w:r w:rsidRPr="001C06AE">
        <w:rPr>
          <w:rFonts w:ascii="Verdana" w:hAnsi="Verdana" w:cs="Tahoma"/>
          <w:u w:val="single"/>
        </w:rPr>
        <w:t>Situación de Aconcagua Foods.</w:t>
      </w:r>
    </w:p>
    <w:p w14:paraId="3DE40505" w14:textId="77777777" w:rsidR="007F4B8A" w:rsidRDefault="007F4B8A" w:rsidP="00501BF5">
      <w:pPr>
        <w:ind w:right="15"/>
        <w:jc w:val="both"/>
        <w:rPr>
          <w:rFonts w:ascii="Verdana" w:hAnsi="Verdana" w:cs="Tahoma"/>
        </w:rPr>
      </w:pPr>
      <w:r>
        <w:rPr>
          <w:rFonts w:ascii="Verdana" w:hAnsi="Verdana" w:cs="Tahoma"/>
        </w:rPr>
        <w:tab/>
        <w:t>Para la caracterización y cuantificación de los residuos consistentes en lodos en la fase de operación, la RCA N°465/2013 consideró las medidas ya reguladas en la RCA N°385/2007, esto es la producción de un lodo con un 80% de humedad, evacuando en temporada alta  de 3 a 4 contenedores diarios.</w:t>
      </w:r>
    </w:p>
    <w:p w14:paraId="6FA1530D" w14:textId="77777777" w:rsidR="001B0A38" w:rsidRPr="001B0A38" w:rsidRDefault="00507864" w:rsidP="00501BF5">
      <w:pPr>
        <w:ind w:right="15" w:firstLine="708"/>
        <w:jc w:val="both"/>
        <w:rPr>
          <w:rFonts w:ascii="Verdana" w:hAnsi="Verdana" w:cs="Tahoma"/>
        </w:rPr>
      </w:pPr>
      <w:r>
        <w:rPr>
          <w:rFonts w:ascii="Verdana" w:hAnsi="Verdana" w:cs="Tahoma"/>
        </w:rPr>
        <w:t>Actualmente, p</w:t>
      </w:r>
      <w:r w:rsidR="001B0A38" w:rsidRPr="001B0A38">
        <w:rPr>
          <w:rFonts w:ascii="Verdana" w:hAnsi="Verdana" w:cs="Tahoma"/>
        </w:rPr>
        <w:t>ara mantener la operación estable de la P</w:t>
      </w:r>
      <w:r w:rsidR="001B0A38">
        <w:rPr>
          <w:rFonts w:ascii="Verdana" w:hAnsi="Verdana" w:cs="Tahoma"/>
        </w:rPr>
        <w:t xml:space="preserve">lanta de </w:t>
      </w:r>
      <w:r w:rsidR="001B0A38" w:rsidRPr="001B0A38">
        <w:rPr>
          <w:rFonts w:ascii="Verdana" w:hAnsi="Verdana" w:cs="Tahoma"/>
        </w:rPr>
        <w:t>T</w:t>
      </w:r>
      <w:r w:rsidR="001B0A38">
        <w:rPr>
          <w:rFonts w:ascii="Verdana" w:hAnsi="Verdana" w:cs="Tahoma"/>
        </w:rPr>
        <w:t xml:space="preserve">ratamiento de </w:t>
      </w:r>
      <w:r w:rsidR="001B0A38" w:rsidRPr="001B0A38">
        <w:rPr>
          <w:rFonts w:ascii="Verdana" w:hAnsi="Verdana" w:cs="Tahoma"/>
        </w:rPr>
        <w:t>R</w:t>
      </w:r>
      <w:r w:rsidR="001B0A38">
        <w:rPr>
          <w:rFonts w:ascii="Verdana" w:hAnsi="Verdana" w:cs="Tahoma"/>
        </w:rPr>
        <w:t>iles</w:t>
      </w:r>
      <w:r w:rsidR="001B0A38" w:rsidRPr="001B0A38">
        <w:rPr>
          <w:rFonts w:ascii="Verdana" w:hAnsi="Verdana" w:cs="Tahoma"/>
        </w:rPr>
        <w:t xml:space="preserve">, es necesario hacer retiro de lodos del sistema de tratamiento, para </w:t>
      </w:r>
      <w:r>
        <w:rPr>
          <w:rFonts w:ascii="Verdana" w:hAnsi="Verdana" w:cs="Tahoma"/>
        </w:rPr>
        <w:t>lo cual</w:t>
      </w:r>
      <w:r w:rsidR="001B0A38" w:rsidRPr="001B0A38">
        <w:rPr>
          <w:rFonts w:ascii="Verdana" w:hAnsi="Verdana" w:cs="Tahoma"/>
        </w:rPr>
        <w:t xml:space="preserve"> se cuenta con un sistema de extracción de estos lodos mediante un proceso de deshidratado. Lo que se persigue</w:t>
      </w:r>
      <w:r>
        <w:rPr>
          <w:rFonts w:ascii="Verdana" w:hAnsi="Verdana" w:cs="Tahoma"/>
        </w:rPr>
        <w:t xml:space="preserve"> con el proceso de deshidratado</w:t>
      </w:r>
      <w:r w:rsidR="001B0A38" w:rsidRPr="001B0A38">
        <w:rPr>
          <w:rFonts w:ascii="Verdana" w:hAnsi="Verdana" w:cs="Tahoma"/>
        </w:rPr>
        <w:t xml:space="preserve"> es conseguir retirar del sistema la cantidad de materia seca necesaria para mantener la estabilidad del proceso. </w:t>
      </w:r>
    </w:p>
    <w:p w14:paraId="1AFC0971" w14:textId="77777777" w:rsidR="00507864" w:rsidRPr="001B0A38" w:rsidRDefault="00507864" w:rsidP="00501BF5">
      <w:pPr>
        <w:ind w:right="15" w:firstLine="708"/>
        <w:jc w:val="both"/>
        <w:rPr>
          <w:rFonts w:ascii="Verdana" w:hAnsi="Verdana" w:cs="Tahoma"/>
        </w:rPr>
      </w:pPr>
      <w:r>
        <w:rPr>
          <w:rFonts w:ascii="Verdana" w:hAnsi="Verdana" w:cs="Tahoma"/>
        </w:rPr>
        <w:t xml:space="preserve">Así, </w:t>
      </w:r>
      <w:r w:rsidRPr="001B0A38">
        <w:rPr>
          <w:rFonts w:ascii="Verdana" w:hAnsi="Verdana" w:cs="Tahoma"/>
        </w:rPr>
        <w:t>el lodo que se consigue en el proceso de deshidratación de la P</w:t>
      </w:r>
      <w:r>
        <w:rPr>
          <w:rFonts w:ascii="Verdana" w:hAnsi="Verdana" w:cs="Tahoma"/>
        </w:rPr>
        <w:t xml:space="preserve">lanta de </w:t>
      </w:r>
      <w:r w:rsidRPr="001B0A38">
        <w:rPr>
          <w:rFonts w:ascii="Verdana" w:hAnsi="Verdana" w:cs="Tahoma"/>
        </w:rPr>
        <w:t>T</w:t>
      </w:r>
      <w:r>
        <w:rPr>
          <w:rFonts w:ascii="Verdana" w:hAnsi="Verdana" w:cs="Tahoma"/>
        </w:rPr>
        <w:t xml:space="preserve">ratamiento de </w:t>
      </w:r>
      <w:r w:rsidRPr="001B0A38">
        <w:rPr>
          <w:rFonts w:ascii="Verdana" w:hAnsi="Verdana" w:cs="Tahoma"/>
        </w:rPr>
        <w:t>R</w:t>
      </w:r>
      <w:r>
        <w:rPr>
          <w:rFonts w:ascii="Verdana" w:hAnsi="Verdana" w:cs="Tahoma"/>
        </w:rPr>
        <w:t>iles</w:t>
      </w:r>
      <w:r w:rsidRPr="001B0A38">
        <w:rPr>
          <w:rFonts w:ascii="Verdana" w:hAnsi="Verdana" w:cs="Tahoma"/>
        </w:rPr>
        <w:t xml:space="preserve"> contiene un 89,9 % de humedad, es decir, un 10,1% de materia seca. Esto está determinado por la naturaleza “frutal” del lodo biológico  y no es posible </w:t>
      </w:r>
      <w:r w:rsidRPr="001B0A38">
        <w:rPr>
          <w:rFonts w:ascii="Verdana" w:hAnsi="Verdana" w:cs="Tahoma"/>
        </w:rPr>
        <w:lastRenderedPageBreak/>
        <w:t>mejorar los porcentajes de materia seca, no obstante este lodo es inocuo y se comporta como un sólido, dado que no genera escurrimiento de aguas.</w:t>
      </w:r>
    </w:p>
    <w:p w14:paraId="5203074C" w14:textId="77777777" w:rsidR="00507864" w:rsidRDefault="00507864" w:rsidP="00501BF5">
      <w:pPr>
        <w:ind w:right="15" w:firstLine="708"/>
        <w:jc w:val="both"/>
        <w:rPr>
          <w:rFonts w:ascii="Verdana" w:hAnsi="Verdana" w:cs="Tahoma"/>
        </w:rPr>
      </w:pPr>
      <w:r w:rsidRPr="001B0A38">
        <w:rPr>
          <w:rFonts w:ascii="Verdana" w:hAnsi="Verdana" w:cs="Tahoma"/>
        </w:rPr>
        <w:t>Para la obtención de la RCA N°465/2013, se subestimó el por</w:t>
      </w:r>
      <w:r>
        <w:rPr>
          <w:rFonts w:ascii="Verdana" w:hAnsi="Verdana" w:cs="Tahoma"/>
        </w:rPr>
        <w:t>centaje de humedad de los lodos:</w:t>
      </w:r>
      <w:r w:rsidRPr="001B0A38">
        <w:rPr>
          <w:rFonts w:ascii="Verdana" w:hAnsi="Verdana" w:cs="Tahoma"/>
        </w:rPr>
        <w:t xml:space="preserve"> en esta se estimó una humedad del 80%, lo cual en el transcurso de las operaciones se corroboró la imposibilidad de conseguirlo. </w:t>
      </w:r>
    </w:p>
    <w:p w14:paraId="593BC0E1" w14:textId="77777777" w:rsidR="00507864" w:rsidRDefault="00507864" w:rsidP="00501BF5">
      <w:pPr>
        <w:ind w:right="15" w:firstLine="708"/>
        <w:jc w:val="both"/>
        <w:rPr>
          <w:rFonts w:ascii="Verdana" w:hAnsi="Verdana" w:cs="Tahoma"/>
        </w:rPr>
      </w:pPr>
      <w:r w:rsidRPr="001B0A38">
        <w:rPr>
          <w:rFonts w:ascii="Verdana" w:hAnsi="Verdana" w:cs="Tahoma"/>
        </w:rPr>
        <w:t>Esta dificultad significa tener que retirar más volumen de lodos, dado que la demanda de ret</w:t>
      </w:r>
      <w:r>
        <w:rPr>
          <w:rFonts w:ascii="Verdana" w:hAnsi="Verdana" w:cs="Tahoma"/>
        </w:rPr>
        <w:t>iro de materia seca se mantiene.</w:t>
      </w:r>
      <w:r w:rsidRPr="001B0A38">
        <w:rPr>
          <w:rFonts w:ascii="Verdana" w:hAnsi="Verdana" w:cs="Tahoma"/>
        </w:rPr>
        <w:t xml:space="preserve"> </w:t>
      </w:r>
      <w:r>
        <w:rPr>
          <w:rFonts w:ascii="Verdana" w:hAnsi="Verdana" w:cs="Tahoma"/>
        </w:rPr>
        <w:t>D</w:t>
      </w:r>
      <w:r w:rsidRPr="001B0A38">
        <w:rPr>
          <w:rFonts w:ascii="Verdana" w:hAnsi="Verdana" w:cs="Tahoma"/>
        </w:rPr>
        <w:t>icho de otra forma, trabajar a un 89,9 % de humedad y no al 80% significa prácticamente duplicar el número de contenedores de lodo a retirar.</w:t>
      </w:r>
    </w:p>
    <w:p w14:paraId="64636282" w14:textId="77777777" w:rsidR="003911B2" w:rsidRDefault="003A608B" w:rsidP="00501BF5">
      <w:pPr>
        <w:ind w:right="15"/>
        <w:jc w:val="both"/>
        <w:rPr>
          <w:rFonts w:ascii="Verdana" w:hAnsi="Verdana" w:cs="Tahoma"/>
        </w:rPr>
      </w:pPr>
      <w:r>
        <w:rPr>
          <w:rFonts w:ascii="Verdana" w:hAnsi="Verdana" w:cs="Tahoma"/>
        </w:rPr>
        <w:tab/>
      </w:r>
      <w:r w:rsidR="00507864">
        <w:rPr>
          <w:rFonts w:ascii="Verdana" w:hAnsi="Verdana" w:cs="Tahoma"/>
        </w:rPr>
        <w:t>En conclusión</w:t>
      </w:r>
      <w:r>
        <w:rPr>
          <w:rFonts w:ascii="Verdana" w:hAnsi="Verdana" w:cs="Tahoma"/>
        </w:rPr>
        <w:t>, por las características de las materias primas</w:t>
      </w:r>
      <w:r w:rsidR="003911B2">
        <w:rPr>
          <w:rFonts w:ascii="Verdana" w:hAnsi="Verdana" w:cs="Tahoma"/>
        </w:rPr>
        <w:t xml:space="preserve"> que utiliza Aconcagua Foods, el porcentaje de humedad</w:t>
      </w:r>
      <w:r>
        <w:rPr>
          <w:rFonts w:ascii="Verdana" w:hAnsi="Verdana" w:cs="Tahoma"/>
        </w:rPr>
        <w:t xml:space="preserve"> de sus lodos fluctúa entre </w:t>
      </w:r>
      <w:r w:rsidR="003911B2">
        <w:rPr>
          <w:rFonts w:ascii="Verdana" w:hAnsi="Verdana" w:cs="Tahoma"/>
        </w:rPr>
        <w:t>el 81% y el 89%, lo cual no produce riesgo de lixiviación o escurrimiento ni ningún otro tipo de riesgo ambiental, pero no es posible disminuir aun más dicho porcentaje sin tecnología o inversiones que escapan al objetivo del proceso de disposición de lodos, más aun considerando que Aconcagua Foods no tiene autorización para almacenar lodos en la Planta de Tratamiento de Riles.</w:t>
      </w:r>
    </w:p>
    <w:p w14:paraId="53C70F35" w14:textId="77777777" w:rsidR="00DB7273" w:rsidRDefault="003911B2" w:rsidP="00501BF5">
      <w:pPr>
        <w:ind w:right="15"/>
        <w:jc w:val="both"/>
        <w:rPr>
          <w:rFonts w:ascii="Verdana" w:hAnsi="Verdana" w:cs="Tahoma"/>
        </w:rPr>
      </w:pPr>
      <w:r>
        <w:rPr>
          <w:rFonts w:ascii="Verdana" w:hAnsi="Verdana" w:cs="Tahoma"/>
        </w:rPr>
        <w:tab/>
        <w:t>Asimismo, esas características de las materias primas que hacen que la humedad varíe en los rangos expuestos</w:t>
      </w:r>
      <w:r w:rsidR="001C06AE">
        <w:rPr>
          <w:rFonts w:ascii="Verdana" w:hAnsi="Verdana" w:cs="Tahoma"/>
        </w:rPr>
        <w:t>, provoca también que el número de contenedores evacuados de la planta de tratamiento de riles alcance hasta 8 diarios en temporada alta. Esto, sin que exista una aumento en los parámetros autorizados de operación ni de producción, sino simplemente por el porcentaje de humedad que tienen los residuos.</w:t>
      </w:r>
      <w:r>
        <w:rPr>
          <w:rFonts w:ascii="Verdana" w:hAnsi="Verdana" w:cs="Tahoma"/>
        </w:rPr>
        <w:t xml:space="preserve"> </w:t>
      </w:r>
      <w:r w:rsidR="001C06AE">
        <w:rPr>
          <w:rFonts w:ascii="Verdana" w:hAnsi="Verdana" w:cs="Tahoma"/>
        </w:rPr>
        <w:t>Así se observa de la planilla de registro de humedad y contenedores evacuados correspondiente a la temporada 2019 que se adjunta.</w:t>
      </w:r>
      <w:r w:rsidR="007F4B8A">
        <w:rPr>
          <w:rFonts w:ascii="Verdana" w:hAnsi="Verdana" w:cs="Tahoma"/>
        </w:rPr>
        <w:tab/>
      </w:r>
      <w:r w:rsidR="00DB7273">
        <w:rPr>
          <w:rFonts w:ascii="Verdana" w:hAnsi="Verdana" w:cs="Tahoma"/>
        </w:rPr>
        <w:tab/>
      </w:r>
    </w:p>
    <w:p w14:paraId="7A344150" w14:textId="77777777" w:rsidR="001B0A38" w:rsidRDefault="001B0A38" w:rsidP="007F4B8A">
      <w:pPr>
        <w:ind w:right="866"/>
        <w:jc w:val="both"/>
        <w:rPr>
          <w:rFonts w:ascii="Verdana" w:hAnsi="Verdana" w:cs="Tahoma"/>
        </w:rPr>
      </w:pPr>
    </w:p>
    <w:p w14:paraId="41BA95EB" w14:textId="77777777" w:rsidR="007F4B8A" w:rsidRDefault="001C06AE" w:rsidP="007F4B8A">
      <w:pPr>
        <w:jc w:val="both"/>
        <w:rPr>
          <w:rFonts w:ascii="Verdana" w:hAnsi="Verdana"/>
        </w:rPr>
      </w:pPr>
      <w:r>
        <w:rPr>
          <w:rFonts w:ascii="Verdana" w:hAnsi="Verdana"/>
          <w:b/>
        </w:rPr>
        <w:t>4</w:t>
      </w:r>
      <w:r w:rsidR="007F4B8A">
        <w:rPr>
          <w:rFonts w:ascii="Verdana" w:hAnsi="Verdana"/>
          <w:b/>
        </w:rPr>
        <w:t>.</w:t>
      </w:r>
      <w:r w:rsidR="007F4B8A">
        <w:rPr>
          <w:rFonts w:ascii="Verdana" w:hAnsi="Verdana"/>
        </w:rPr>
        <w:t xml:space="preserve"> </w:t>
      </w:r>
      <w:r w:rsidR="007F4B8A">
        <w:rPr>
          <w:rFonts w:ascii="Verdana" w:hAnsi="Verdana"/>
          <w:u w:val="single"/>
        </w:rPr>
        <w:t>Descripción de la modificación solicitada</w:t>
      </w:r>
    </w:p>
    <w:p w14:paraId="2E163BF4" w14:textId="77777777" w:rsidR="007F4B8A" w:rsidRDefault="007F4B8A" w:rsidP="007F4B8A">
      <w:pPr>
        <w:jc w:val="both"/>
        <w:rPr>
          <w:rFonts w:ascii="Verdana" w:hAnsi="Verdana"/>
        </w:rPr>
      </w:pPr>
      <w:r>
        <w:rPr>
          <w:rFonts w:ascii="Verdana" w:hAnsi="Verdana"/>
        </w:rPr>
        <w:tab/>
        <w:t xml:space="preserve">La modificación que se solicita dice relación con la eliminación del </w:t>
      </w:r>
      <w:r w:rsidR="001C06AE">
        <w:rPr>
          <w:rFonts w:ascii="Verdana" w:hAnsi="Verdana"/>
        </w:rPr>
        <w:t>porcentaje de humedad de los lodos provenientes de la Planta de Tratamiento de Riles y con la modificación del número de contenedores que, en temporada alta (diciembre a marzo) Aconcagua Foods debe evacuar de la planta.</w:t>
      </w:r>
    </w:p>
    <w:p w14:paraId="2606C27B" w14:textId="77777777" w:rsidR="002C4A24" w:rsidRDefault="007F4B8A" w:rsidP="007F4B8A">
      <w:pPr>
        <w:ind w:firstLine="708"/>
        <w:jc w:val="both"/>
        <w:rPr>
          <w:rFonts w:ascii="Verdana" w:hAnsi="Verdana"/>
        </w:rPr>
      </w:pPr>
      <w:r>
        <w:rPr>
          <w:rFonts w:ascii="Verdana" w:hAnsi="Verdana"/>
        </w:rPr>
        <w:t xml:space="preserve">El proyecto original, sobre el cual se requiere realizar una modificación, y que hace necesaria esta consulta de pertinencia </w:t>
      </w:r>
      <w:r w:rsidR="001C06AE">
        <w:rPr>
          <w:rFonts w:ascii="Verdana" w:hAnsi="Verdana"/>
        </w:rPr>
        <w:t>son los número</w:t>
      </w:r>
      <w:r w:rsidR="00922423">
        <w:rPr>
          <w:rFonts w:ascii="Verdana" w:hAnsi="Verdana"/>
        </w:rPr>
        <w:t>s</w:t>
      </w:r>
      <w:r w:rsidR="001C06AE">
        <w:rPr>
          <w:rFonts w:ascii="Verdana" w:hAnsi="Verdana"/>
        </w:rPr>
        <w:t xml:space="preserve"> i. y iii. de la letra c.1 </w:t>
      </w:r>
      <w:r w:rsidR="002F378A">
        <w:rPr>
          <w:rFonts w:ascii="Verdana" w:hAnsi="Verdana"/>
        </w:rPr>
        <w:t xml:space="preserve">Generación de Lodos, </w:t>
      </w:r>
      <w:r w:rsidR="001C06AE">
        <w:rPr>
          <w:rFonts w:ascii="Verdana" w:hAnsi="Verdana"/>
        </w:rPr>
        <w:t xml:space="preserve">de del parágrafo </w:t>
      </w:r>
      <w:r w:rsidR="002F378A">
        <w:rPr>
          <w:rFonts w:ascii="Verdana" w:hAnsi="Verdana"/>
        </w:rPr>
        <w:t xml:space="preserve">es el numeral 3.2.6 Caracterización y Cuantificación </w:t>
      </w:r>
      <w:r w:rsidR="002C4A24">
        <w:rPr>
          <w:rFonts w:ascii="Verdana" w:hAnsi="Verdana"/>
        </w:rPr>
        <w:t>de los Residuos en Fase de Operación, todo</w:t>
      </w:r>
      <w:r>
        <w:rPr>
          <w:rFonts w:ascii="Verdana" w:hAnsi="Verdana"/>
        </w:rPr>
        <w:t xml:space="preserve"> de la RCA N°465/2013.</w:t>
      </w:r>
    </w:p>
    <w:p w14:paraId="6C5F9D0E" w14:textId="77777777" w:rsidR="002C4A24" w:rsidRDefault="002C4A24" w:rsidP="007F4B8A">
      <w:pPr>
        <w:ind w:firstLine="708"/>
        <w:jc w:val="both"/>
        <w:rPr>
          <w:rFonts w:ascii="Verdana" w:hAnsi="Verdana"/>
        </w:rPr>
      </w:pPr>
      <w:r>
        <w:rPr>
          <w:rFonts w:ascii="Verdana" w:hAnsi="Verdana"/>
        </w:rPr>
        <w:t>Sobre ello, los puntos i. y iii. señalan respectivamente:</w:t>
      </w:r>
    </w:p>
    <w:p w14:paraId="2B192104" w14:textId="77777777" w:rsidR="002C4A24" w:rsidRDefault="002C4A24" w:rsidP="002C4A24">
      <w:pPr>
        <w:ind w:left="708" w:right="866"/>
        <w:jc w:val="both"/>
        <w:rPr>
          <w:rFonts w:ascii="Verdana" w:hAnsi="Verdana"/>
        </w:rPr>
      </w:pPr>
      <w:r>
        <w:rPr>
          <w:rFonts w:ascii="Verdana" w:hAnsi="Verdana"/>
        </w:rPr>
        <w:lastRenderedPageBreak/>
        <w:t>“i. Los lodos serán conducidos hasta la centrífuga pieralisi, el proceso mecánico consistirá en deshidratar y reducir los niveles de humedad del lodo, resultando un lodo con un 80% de humedad.</w:t>
      </w:r>
    </w:p>
    <w:p w14:paraId="7E1464E6" w14:textId="77777777" w:rsidR="007F4B8A" w:rsidRDefault="002C4A24" w:rsidP="002C4A24">
      <w:pPr>
        <w:ind w:left="708" w:right="866"/>
        <w:jc w:val="both"/>
        <w:rPr>
          <w:rFonts w:ascii="Verdana" w:hAnsi="Verdana"/>
        </w:rPr>
      </w:pPr>
      <w:r>
        <w:rPr>
          <w:rFonts w:ascii="Verdana" w:hAnsi="Verdana"/>
        </w:rPr>
        <w:t>iii. A plena carga (entre los meses de diciembre a marzo), la planta evacuará 3 a 4 contenedores  diarios (de 12m3 cada uno), durante 7 días a la semana, los que serán trasladados por camiones aprobados por la Autoridad Sanitaria.”</w:t>
      </w:r>
      <w:r w:rsidR="007F4B8A">
        <w:rPr>
          <w:rFonts w:ascii="Verdana" w:hAnsi="Verdana"/>
        </w:rPr>
        <w:t xml:space="preserve"> </w:t>
      </w:r>
    </w:p>
    <w:p w14:paraId="6F6FD293" w14:textId="77777777" w:rsidR="00333718" w:rsidRDefault="00333718" w:rsidP="00333718">
      <w:pPr>
        <w:ind w:right="15" w:firstLine="708"/>
        <w:jc w:val="both"/>
        <w:rPr>
          <w:rFonts w:ascii="Verdana" w:hAnsi="Verdana"/>
        </w:rPr>
      </w:pPr>
      <w:r>
        <w:rPr>
          <w:rFonts w:ascii="Verdana" w:hAnsi="Verdana"/>
        </w:rPr>
        <w:t xml:space="preserve">Como se indicó y respaldó por el análisis técnico, los lodos provenientes de la industria hortofrutícola, debido a las características heterogéneas de sus materias primas como es el caso de Aconcagua Foods, no permiten alcanzar la humedad propuesta en el DS N°3/2012 (70%) ni tampoco la regulada en la RCA N°465/2013 (80%), por lo cual se encuentra en una contingencia permanente de incumplimiento a los instrumentos que la regulan. Ese mismo factor, conlleva a que el número de contenedores a evacuar, en temporada alta, </w:t>
      </w:r>
      <w:r w:rsidR="00507864">
        <w:rPr>
          <w:rFonts w:ascii="Verdana" w:hAnsi="Verdana"/>
        </w:rPr>
        <w:t>promedia los 8 contenedores diarios</w:t>
      </w:r>
      <w:r>
        <w:rPr>
          <w:rFonts w:ascii="Verdana" w:hAnsi="Verdana"/>
        </w:rPr>
        <w:t xml:space="preserve"> y no entre 3 y 4 como indica la RCA N°465/2013, donde fueron subestimados estos valores, sin que ello signifique un impacto ambiental distinto a los calificados, por las razones que se exponen a continuación:</w:t>
      </w:r>
    </w:p>
    <w:p w14:paraId="2FEE3788" w14:textId="77777777" w:rsidR="00BC79FF" w:rsidRDefault="007F4B8A" w:rsidP="007F4B8A">
      <w:pPr>
        <w:jc w:val="both"/>
        <w:rPr>
          <w:rFonts w:ascii="Verdana" w:hAnsi="Verdana"/>
        </w:rPr>
      </w:pPr>
      <w:r w:rsidRPr="006F1260">
        <w:rPr>
          <w:rFonts w:ascii="Verdana" w:hAnsi="Verdana"/>
          <w:b/>
        </w:rPr>
        <w:t>(i)</w:t>
      </w:r>
      <w:r w:rsidRPr="006F1260">
        <w:rPr>
          <w:rFonts w:ascii="Verdana" w:hAnsi="Verdana"/>
          <w:b/>
        </w:rPr>
        <w:tab/>
      </w:r>
      <w:r w:rsidR="00333718">
        <w:rPr>
          <w:rFonts w:ascii="Verdana" w:hAnsi="Verdana"/>
        </w:rPr>
        <w:t xml:space="preserve">Los parámetros de afluente y efluente y los caudales respectivos no son alterados, encontrándose durante toda la temporada alta dentro de los parámetros de diseño aprobados por la RCA N°465/2013, por lo tanto no existe un aumento </w:t>
      </w:r>
      <w:r w:rsidR="00BC79FF">
        <w:rPr>
          <w:rFonts w:ascii="Verdana" w:hAnsi="Verdana"/>
        </w:rPr>
        <w:t>en las cantidades y calidades del afluente tratado ni en el efluente descargado.</w:t>
      </w:r>
    </w:p>
    <w:p w14:paraId="60D5260F" w14:textId="77777777" w:rsidR="007F4B8A" w:rsidRDefault="007F4B8A" w:rsidP="007F4B8A">
      <w:pPr>
        <w:jc w:val="both"/>
        <w:rPr>
          <w:rFonts w:ascii="Verdana" w:hAnsi="Verdana"/>
        </w:rPr>
      </w:pPr>
      <w:r w:rsidRPr="006F1260">
        <w:rPr>
          <w:rFonts w:ascii="Verdana" w:hAnsi="Verdana"/>
          <w:b/>
        </w:rPr>
        <w:t>(ii)</w:t>
      </w:r>
      <w:r w:rsidRPr="006F1260">
        <w:rPr>
          <w:rFonts w:ascii="Verdana" w:hAnsi="Verdana"/>
          <w:b/>
        </w:rPr>
        <w:tab/>
      </w:r>
      <w:r w:rsidR="00BC79FF">
        <w:rPr>
          <w:rFonts w:ascii="Verdana" w:hAnsi="Verdana"/>
        </w:rPr>
        <w:t>Los lodos siguen siendo transportados por camiones autorizados por la Seremi de Salud RM.</w:t>
      </w:r>
    </w:p>
    <w:p w14:paraId="6C21FC7E" w14:textId="77777777" w:rsidR="00BC79FF" w:rsidRDefault="00BC79FF" w:rsidP="007F4B8A">
      <w:pPr>
        <w:jc w:val="both"/>
        <w:rPr>
          <w:rFonts w:ascii="Verdana" w:hAnsi="Verdana"/>
        </w:rPr>
      </w:pPr>
      <w:r w:rsidRPr="00BC79FF">
        <w:rPr>
          <w:rFonts w:ascii="Verdana" w:hAnsi="Verdana"/>
          <w:b/>
        </w:rPr>
        <w:t>(iii)</w:t>
      </w:r>
      <w:r>
        <w:rPr>
          <w:rFonts w:ascii="Verdana" w:hAnsi="Verdana"/>
        </w:rPr>
        <w:tab/>
        <w:t>Los lodos siguen siendo descargados directamente desde la centrífuga pieralisi a un contenedor con capacidad de 12 m3 especialmente diseñado para el traslado de lodos y aprobado por la Autoridad Sanitaria.</w:t>
      </w:r>
    </w:p>
    <w:p w14:paraId="6EE04EF4" w14:textId="08F9278C" w:rsidR="007F4B8A" w:rsidRDefault="007F4B8A" w:rsidP="007F4B8A">
      <w:pPr>
        <w:jc w:val="both"/>
        <w:rPr>
          <w:rFonts w:ascii="Verdana" w:hAnsi="Verdana"/>
        </w:rPr>
      </w:pPr>
      <w:r w:rsidRPr="006F1260">
        <w:rPr>
          <w:rFonts w:ascii="Verdana" w:hAnsi="Verdana"/>
          <w:b/>
        </w:rPr>
        <w:t>(iii)</w:t>
      </w:r>
      <w:r w:rsidRPr="006F1260">
        <w:rPr>
          <w:rFonts w:ascii="Verdana" w:hAnsi="Verdana"/>
          <w:b/>
        </w:rPr>
        <w:tab/>
      </w:r>
      <w:r w:rsidR="00BC79FF">
        <w:rPr>
          <w:rFonts w:ascii="Verdana" w:hAnsi="Verdana"/>
        </w:rPr>
        <w:t>Los lodos son trasladados a la Planta de Compostaje Agroorgánico</w:t>
      </w:r>
      <w:r w:rsidR="00501BF5">
        <w:rPr>
          <w:rFonts w:ascii="Verdana" w:hAnsi="Verdana"/>
        </w:rPr>
        <w:t>s</w:t>
      </w:r>
      <w:r w:rsidR="00BC79FF">
        <w:rPr>
          <w:rFonts w:ascii="Verdana" w:hAnsi="Verdana"/>
        </w:rPr>
        <w:t xml:space="preserve"> Mostazal, para lo cual existe resolución sanitaria que lo autoriza.</w:t>
      </w:r>
    </w:p>
    <w:p w14:paraId="2E41D71C" w14:textId="77777777" w:rsidR="007F4B8A" w:rsidRDefault="007F4B8A" w:rsidP="007F4B8A">
      <w:pPr>
        <w:jc w:val="both"/>
        <w:rPr>
          <w:rFonts w:ascii="Verdana" w:hAnsi="Verdana"/>
        </w:rPr>
      </w:pPr>
      <w:r w:rsidRPr="006F1260">
        <w:rPr>
          <w:rFonts w:ascii="Verdana" w:hAnsi="Verdana"/>
          <w:b/>
        </w:rPr>
        <w:t>(iv)</w:t>
      </w:r>
      <w:r>
        <w:rPr>
          <w:rFonts w:ascii="Verdana" w:hAnsi="Verdana"/>
        </w:rPr>
        <w:tab/>
      </w:r>
      <w:r w:rsidR="008B2AE1">
        <w:rPr>
          <w:rFonts w:ascii="Verdana" w:hAnsi="Verdana"/>
        </w:rPr>
        <w:t>La imposibilidad fáctica de cumplir el porcentaje de humedad exigido se debe a las especiales características de la materia prima utilizada por Aconcagua Foods, sin que ello suponga algún riesgo de lixiviación o escurrimiento ni la imposibilidad de utilizar estos lodos para la mejoras de suelo.</w:t>
      </w:r>
    </w:p>
    <w:p w14:paraId="2EE61960" w14:textId="77777777" w:rsidR="008B2AE1" w:rsidRDefault="008B2AE1" w:rsidP="007F4B8A">
      <w:pPr>
        <w:jc w:val="both"/>
        <w:rPr>
          <w:rFonts w:ascii="Verdana" w:hAnsi="Verdana"/>
        </w:rPr>
      </w:pPr>
      <w:r w:rsidRPr="008B2AE1">
        <w:rPr>
          <w:rFonts w:ascii="Verdana" w:hAnsi="Verdana"/>
          <w:b/>
        </w:rPr>
        <w:t>(v)</w:t>
      </w:r>
      <w:r>
        <w:rPr>
          <w:rFonts w:ascii="Verdana" w:hAnsi="Verdana"/>
        </w:rPr>
        <w:tab/>
        <w:t>Por su parte, el número de contenedores indicados en la RCA N°465/2013 fue subestimado al momento de proponer la cifra ya que no se tenía experiencia al respecto. Hoy se retiran en temporada alta entre 6 y 8 camiones diarios, cuya única explicación es precisamente el porcentaje de humedad del lodo, y no un aumento en los caudales o parámetros de diseño aprobados.</w:t>
      </w:r>
    </w:p>
    <w:p w14:paraId="4C68474C" w14:textId="77777777" w:rsidR="007F4B8A" w:rsidRPr="0046009E" w:rsidRDefault="007F4B8A" w:rsidP="008B2AE1">
      <w:pPr>
        <w:jc w:val="both"/>
        <w:rPr>
          <w:rFonts w:ascii="Verdana" w:hAnsi="Verdana"/>
        </w:rPr>
      </w:pPr>
      <w:r>
        <w:rPr>
          <w:rFonts w:ascii="Verdana" w:hAnsi="Verdana"/>
        </w:rPr>
        <w:lastRenderedPageBreak/>
        <w:tab/>
      </w:r>
    </w:p>
    <w:p w14:paraId="57841D21" w14:textId="77777777" w:rsidR="007F4B8A" w:rsidRDefault="007F4B8A" w:rsidP="007F4B8A">
      <w:pPr>
        <w:jc w:val="both"/>
        <w:rPr>
          <w:rFonts w:ascii="Verdana" w:hAnsi="Verdana"/>
        </w:rPr>
      </w:pPr>
      <w:r>
        <w:rPr>
          <w:rFonts w:ascii="Verdana" w:hAnsi="Verdana"/>
        </w:rPr>
        <w:tab/>
        <w:t>Por tal motivo, la modificación propuesta consiste en la eliminación de</w:t>
      </w:r>
      <w:r w:rsidR="008B2AE1">
        <w:rPr>
          <w:rFonts w:ascii="Verdana" w:hAnsi="Verdana"/>
        </w:rPr>
        <w:t xml:space="preserve"> la referencia a</w:t>
      </w:r>
      <w:r>
        <w:rPr>
          <w:rFonts w:ascii="Verdana" w:hAnsi="Verdana"/>
        </w:rPr>
        <w:t>l</w:t>
      </w:r>
      <w:r w:rsidR="008B2AE1">
        <w:rPr>
          <w:rFonts w:ascii="Verdana" w:hAnsi="Verdana"/>
        </w:rPr>
        <w:t xml:space="preserve"> porcentaje de humedad indicado en el número i., y la modificación del número de contenedores a entre 6 y 8 contenedores diarios solo para la temporada alta (diciembre a marzo). </w:t>
      </w:r>
    </w:p>
    <w:p w14:paraId="025E51C2" w14:textId="77777777" w:rsidR="007F4B8A" w:rsidRDefault="008B2AE1" w:rsidP="007F4B8A">
      <w:pPr>
        <w:jc w:val="both"/>
        <w:rPr>
          <w:rFonts w:ascii="Verdana" w:hAnsi="Verdana"/>
          <w:b/>
        </w:rPr>
      </w:pPr>
      <w:r>
        <w:rPr>
          <w:rFonts w:ascii="Verdana" w:hAnsi="Verdana"/>
          <w:b/>
        </w:rPr>
        <w:t>5</w:t>
      </w:r>
      <w:r w:rsidR="007F4B8A">
        <w:rPr>
          <w:rFonts w:ascii="Verdana" w:hAnsi="Verdana"/>
          <w:b/>
        </w:rPr>
        <w:t xml:space="preserve">. </w:t>
      </w:r>
      <w:r w:rsidR="007F4B8A" w:rsidRPr="00210B7F">
        <w:rPr>
          <w:rFonts w:ascii="Verdana" w:hAnsi="Verdana"/>
          <w:u w:val="single"/>
        </w:rPr>
        <w:t>Análisis de pertinencia</w:t>
      </w:r>
    </w:p>
    <w:p w14:paraId="77733FFD" w14:textId="77777777" w:rsidR="007F4B8A" w:rsidRDefault="007F4B8A" w:rsidP="007F4B8A">
      <w:pPr>
        <w:jc w:val="both"/>
        <w:rPr>
          <w:rFonts w:ascii="Verdana" w:hAnsi="Verdana"/>
          <w:i/>
        </w:rPr>
      </w:pPr>
      <w:r>
        <w:rPr>
          <w:rFonts w:ascii="Verdana" w:hAnsi="Verdana"/>
          <w:b/>
        </w:rPr>
        <w:tab/>
      </w:r>
      <w:r>
        <w:rPr>
          <w:rFonts w:ascii="Verdana" w:hAnsi="Verdana"/>
        </w:rPr>
        <w:t>El artículo 8° de la Ley N°19.300, indica que “</w:t>
      </w:r>
      <w:r>
        <w:rPr>
          <w:rFonts w:ascii="Verdana" w:hAnsi="Verdana"/>
          <w:i/>
        </w:rPr>
        <w:t xml:space="preserve">Los proyectos o actividades señalados en el artículo 10 sólo podrán ejecutarse o modificarse previa evaluación de su impacto ambiental, de acuerdo a lo establecido en la presente Ley”. </w:t>
      </w:r>
    </w:p>
    <w:p w14:paraId="1B6AB5D1" w14:textId="77777777" w:rsidR="007F4B8A" w:rsidRDefault="007F4B8A" w:rsidP="007F4B8A">
      <w:pPr>
        <w:ind w:firstLine="708"/>
        <w:jc w:val="both"/>
        <w:rPr>
          <w:rFonts w:ascii="Verdana" w:hAnsi="Verdana"/>
        </w:rPr>
      </w:pPr>
      <w:r>
        <w:rPr>
          <w:rFonts w:ascii="Verdana" w:hAnsi="Verdana"/>
        </w:rPr>
        <w:t>Por su parte, el D.S. N°40/2012, en su artículo 2° letra g) define lo que se entiende por modificación de proyecto que deba someterse al SEIA</w:t>
      </w:r>
      <w:r w:rsidR="008B2AE1">
        <w:rPr>
          <w:rFonts w:ascii="Verdana" w:hAnsi="Verdana"/>
        </w:rPr>
        <w:t>,</w:t>
      </w:r>
      <w:r>
        <w:rPr>
          <w:rFonts w:ascii="Verdana" w:hAnsi="Verdana"/>
        </w:rPr>
        <w:t xml:space="preserve"> de la siguiente forma:</w:t>
      </w:r>
    </w:p>
    <w:p w14:paraId="67CDC281" w14:textId="77777777" w:rsidR="007F4B8A" w:rsidRPr="006A3A6D" w:rsidRDefault="007F4B8A" w:rsidP="007F4B8A">
      <w:pPr>
        <w:ind w:left="708" w:right="724"/>
        <w:jc w:val="both"/>
        <w:rPr>
          <w:rFonts w:ascii="Verdana" w:hAnsi="Verdana"/>
          <w:i/>
          <w:sz w:val="20"/>
          <w:szCs w:val="20"/>
        </w:rPr>
      </w:pPr>
      <w:r w:rsidRPr="006A3A6D">
        <w:rPr>
          <w:rFonts w:ascii="Verdana" w:hAnsi="Verdana"/>
          <w:sz w:val="20"/>
          <w:szCs w:val="20"/>
        </w:rPr>
        <w:t>“</w:t>
      </w:r>
      <w:r w:rsidRPr="006A3A6D">
        <w:rPr>
          <w:rFonts w:ascii="Verdana" w:hAnsi="Verdana"/>
          <w:i/>
          <w:sz w:val="20"/>
          <w:szCs w:val="20"/>
        </w:rPr>
        <w:t xml:space="preserve">g) </w:t>
      </w:r>
      <w:r w:rsidRPr="006A3A6D">
        <w:rPr>
          <w:rFonts w:ascii="Verdana" w:hAnsi="Verdana"/>
          <w:b/>
          <w:i/>
          <w:sz w:val="20"/>
          <w:szCs w:val="20"/>
        </w:rPr>
        <w:t>Modificación de proyecto o actividad:</w:t>
      </w:r>
      <w:r w:rsidRPr="006A3A6D">
        <w:rPr>
          <w:rFonts w:ascii="Verdana" w:hAnsi="Verdana"/>
          <w:i/>
          <w:sz w:val="20"/>
          <w:szCs w:val="20"/>
        </w:rPr>
        <w:t xml:space="preserve"> Realización de obras, acciones o medidas tendientes a intervenir o complementar un proyecto o actividad, de modo tal que éste sufra cambios de consideración. Se entenderá que un proyecto o actividad sufre cambios de consideración cuando: </w:t>
      </w:r>
    </w:p>
    <w:p w14:paraId="5BABB5D0" w14:textId="77777777" w:rsidR="007F4B8A" w:rsidRPr="006A3A6D" w:rsidRDefault="007F4B8A" w:rsidP="007F4B8A">
      <w:pPr>
        <w:ind w:left="708" w:right="724"/>
        <w:jc w:val="both"/>
        <w:rPr>
          <w:rFonts w:ascii="Verdana" w:hAnsi="Verdana"/>
          <w:i/>
          <w:sz w:val="20"/>
          <w:szCs w:val="20"/>
        </w:rPr>
      </w:pPr>
      <w:r w:rsidRPr="006A3A6D">
        <w:rPr>
          <w:rFonts w:ascii="Verdana" w:hAnsi="Verdana"/>
          <w:i/>
          <w:sz w:val="20"/>
          <w:szCs w:val="20"/>
        </w:rPr>
        <w:t xml:space="preserve">g.1. Las partes, obras o acciones tendientes a intervenir o complementar el proyecto o actividad constituyen un proyecto o actividad listado en el artículo 3 del presente Reglamento; </w:t>
      </w:r>
    </w:p>
    <w:p w14:paraId="656ADC6E" w14:textId="77777777" w:rsidR="007F4B8A" w:rsidRPr="006A3A6D" w:rsidRDefault="007F4B8A" w:rsidP="007F4B8A">
      <w:pPr>
        <w:ind w:left="708" w:right="724"/>
        <w:jc w:val="both"/>
        <w:rPr>
          <w:rFonts w:ascii="Verdana" w:hAnsi="Verdana"/>
          <w:i/>
          <w:sz w:val="20"/>
          <w:szCs w:val="20"/>
        </w:rPr>
      </w:pPr>
      <w:r w:rsidRPr="006A3A6D">
        <w:rPr>
          <w:rFonts w:ascii="Verdana" w:hAnsi="Verdana"/>
          <w:i/>
          <w:sz w:val="20"/>
          <w:szCs w:val="20"/>
        </w:rPr>
        <w:t xml:space="preserve">g.2. Para los proyectos que se iniciaron de manera previa a la entrada en vigencia del sistema de evaluación de impacto ambiental, si la suma de las partes, obras o acciones tendientes a intervenir o complementar el proyecto o actividad de manera posterior a la entrada en vigencia de dicho sistema que no han sido calificados ambientalmente, constituye un proyecto o actividad listado en el artículo 3 del presente Reglamento. </w:t>
      </w:r>
    </w:p>
    <w:p w14:paraId="4F974911" w14:textId="77777777" w:rsidR="007F4B8A" w:rsidRPr="006A3A6D" w:rsidRDefault="007F4B8A" w:rsidP="007F4B8A">
      <w:pPr>
        <w:ind w:left="708" w:right="724"/>
        <w:jc w:val="both"/>
        <w:rPr>
          <w:rFonts w:ascii="Verdana" w:hAnsi="Verdana"/>
          <w:i/>
          <w:sz w:val="20"/>
          <w:szCs w:val="20"/>
        </w:rPr>
      </w:pPr>
      <w:r w:rsidRPr="006A3A6D">
        <w:rPr>
          <w:rFonts w:ascii="Verdana" w:hAnsi="Verdana"/>
          <w:i/>
          <w:sz w:val="20"/>
          <w:szCs w:val="20"/>
        </w:rPr>
        <w:t xml:space="preserve">Para los proyectos que se iniciaron de manera posterior a la entrada en vigencia del sistema de evaluación de impacto ambiental, si la suma de las partes, obras y acciones que no han sido calificadas ambientalmente y las partes, obras o acciones tendientes a intervenirlo o complementarlo, constituyen un proyecto o actividad listado en el artículo 3 del presente Reglamento; </w:t>
      </w:r>
    </w:p>
    <w:p w14:paraId="79DAFA99" w14:textId="77777777" w:rsidR="007F4B8A" w:rsidRPr="006A3A6D" w:rsidRDefault="007F4B8A" w:rsidP="007F4B8A">
      <w:pPr>
        <w:ind w:left="708" w:right="724"/>
        <w:jc w:val="both"/>
        <w:rPr>
          <w:rFonts w:ascii="Verdana" w:hAnsi="Verdana"/>
          <w:i/>
          <w:sz w:val="20"/>
          <w:szCs w:val="20"/>
        </w:rPr>
      </w:pPr>
      <w:r w:rsidRPr="006A3A6D">
        <w:rPr>
          <w:rFonts w:ascii="Verdana" w:hAnsi="Verdana"/>
          <w:i/>
          <w:sz w:val="20"/>
          <w:szCs w:val="20"/>
        </w:rPr>
        <w:t xml:space="preserve">g.3. Las obras o acciones tendientes a intervenir o complementar el proyecto o actividad modifican sustantivamente la extensión, magnitud o duración de los impactos ambientales del proyecto o actividad; o </w:t>
      </w:r>
    </w:p>
    <w:p w14:paraId="60CCAF39" w14:textId="77777777" w:rsidR="007F4B8A" w:rsidRPr="006A3A6D" w:rsidRDefault="007F4B8A" w:rsidP="007F4B8A">
      <w:pPr>
        <w:ind w:left="708" w:right="724"/>
        <w:jc w:val="both"/>
        <w:rPr>
          <w:rFonts w:ascii="Verdana" w:hAnsi="Verdana"/>
          <w:i/>
          <w:sz w:val="20"/>
          <w:szCs w:val="20"/>
        </w:rPr>
      </w:pPr>
      <w:r w:rsidRPr="006A3A6D">
        <w:rPr>
          <w:rFonts w:ascii="Verdana" w:hAnsi="Verdana"/>
          <w:i/>
          <w:sz w:val="20"/>
          <w:szCs w:val="20"/>
        </w:rPr>
        <w:t xml:space="preserve">g.4. Las medidas de mitigación, reparación y compensación para hacerse cargo de los impactos significativos de un proyecto o actividad calificado ambientalmente, se ven modificadas sustantivamente. </w:t>
      </w:r>
    </w:p>
    <w:p w14:paraId="276B106D" w14:textId="77777777" w:rsidR="007F4B8A" w:rsidRPr="006A3A6D" w:rsidRDefault="007F4B8A" w:rsidP="007F4B8A">
      <w:pPr>
        <w:ind w:left="708" w:right="724"/>
        <w:jc w:val="both"/>
        <w:rPr>
          <w:rFonts w:ascii="Verdana" w:hAnsi="Verdana"/>
          <w:sz w:val="20"/>
          <w:szCs w:val="20"/>
        </w:rPr>
      </w:pPr>
      <w:r w:rsidRPr="006A3A6D">
        <w:rPr>
          <w:rFonts w:ascii="Verdana" w:hAnsi="Verdana"/>
          <w:i/>
          <w:sz w:val="20"/>
          <w:szCs w:val="20"/>
        </w:rPr>
        <w:lastRenderedPageBreak/>
        <w:t>Para efectos de los casos anteriores, se considerarán los cambios sucesivos que haya sufrido el proyecto o actividad desde la entrada en vigencia del sistema de evaluación de impacto ambiental</w:t>
      </w:r>
      <w:r w:rsidRPr="006A3A6D">
        <w:rPr>
          <w:rFonts w:ascii="Verdana" w:hAnsi="Verdana"/>
          <w:sz w:val="20"/>
          <w:szCs w:val="20"/>
        </w:rPr>
        <w:t>”.</w:t>
      </w:r>
    </w:p>
    <w:p w14:paraId="5161DC98" w14:textId="77777777" w:rsidR="007F4B8A" w:rsidRDefault="007F4B8A" w:rsidP="007F4B8A">
      <w:pPr>
        <w:ind w:firstLine="708"/>
        <w:jc w:val="both"/>
        <w:rPr>
          <w:rFonts w:ascii="Verdana" w:hAnsi="Verdana"/>
        </w:rPr>
      </w:pPr>
      <w:r>
        <w:rPr>
          <w:rFonts w:ascii="Verdana" w:hAnsi="Verdana"/>
        </w:rPr>
        <w:t xml:space="preserve">Respecto de la consulta de pertinencia de ingreso al SEIA que se somete a su consideración, como dispone el Reglamento antes indicado, el proyecto debe sufrir </w:t>
      </w:r>
      <w:r>
        <w:rPr>
          <w:rFonts w:ascii="Verdana" w:hAnsi="Verdana"/>
          <w:u w:val="single"/>
        </w:rPr>
        <w:t>cambios de consideración</w:t>
      </w:r>
      <w:r>
        <w:rPr>
          <w:rFonts w:ascii="Verdana" w:hAnsi="Verdana"/>
        </w:rPr>
        <w:t xml:space="preserve">. </w:t>
      </w:r>
    </w:p>
    <w:p w14:paraId="3258997F" w14:textId="77777777" w:rsidR="007F4B8A" w:rsidRDefault="007F4B8A" w:rsidP="007F4B8A">
      <w:pPr>
        <w:ind w:firstLine="708"/>
        <w:jc w:val="both"/>
        <w:rPr>
          <w:rFonts w:ascii="Verdana" w:hAnsi="Verdana"/>
        </w:rPr>
      </w:pPr>
      <w:r>
        <w:rPr>
          <w:rFonts w:ascii="Verdana" w:hAnsi="Verdana"/>
        </w:rPr>
        <w:t xml:space="preserve">Con el fin de evaluar si la modificación propuesta constituye o no un cambio de consideración, a continuación se analizan uno a uno los casos previstos en el Reglamento del SEIA: </w:t>
      </w:r>
    </w:p>
    <w:p w14:paraId="0C0574A8" w14:textId="77777777" w:rsidR="007F4B8A" w:rsidRDefault="007F4B8A" w:rsidP="007F4B8A">
      <w:pPr>
        <w:ind w:left="705" w:hanging="705"/>
        <w:jc w:val="both"/>
        <w:rPr>
          <w:rFonts w:ascii="Verdana" w:hAnsi="Verdana"/>
          <w:i/>
        </w:rPr>
      </w:pPr>
      <w:r w:rsidRPr="006F1260">
        <w:rPr>
          <w:rFonts w:ascii="Verdana" w:hAnsi="Verdana"/>
          <w:b/>
        </w:rPr>
        <w:t>a)</w:t>
      </w:r>
      <w:r>
        <w:rPr>
          <w:rFonts w:ascii="Verdana" w:hAnsi="Verdana"/>
          <w:i/>
        </w:rPr>
        <w:t xml:space="preserve"> </w:t>
      </w:r>
      <w:r>
        <w:rPr>
          <w:rFonts w:ascii="Verdana" w:hAnsi="Verdana"/>
          <w:i/>
        </w:rPr>
        <w:tab/>
      </w:r>
      <w:r w:rsidRPr="00BB70FB">
        <w:rPr>
          <w:rFonts w:ascii="Verdana" w:hAnsi="Verdana"/>
          <w:i/>
        </w:rPr>
        <w:t>g.1. Las partes, obras o acciones tendientes a intervenir o complementar el proyecto o actividad constituyen un proyecto o actividad listado en el artículo 3 del presente Reglamento</w:t>
      </w:r>
      <w:r w:rsidR="008B2AE1">
        <w:rPr>
          <w:rFonts w:ascii="Verdana" w:hAnsi="Verdana"/>
          <w:i/>
        </w:rPr>
        <w:t>.</w:t>
      </w:r>
    </w:p>
    <w:p w14:paraId="48590A80" w14:textId="77777777" w:rsidR="007F4B8A" w:rsidRDefault="007F4B8A" w:rsidP="007F4B8A">
      <w:pPr>
        <w:ind w:firstLine="708"/>
        <w:jc w:val="both"/>
        <w:rPr>
          <w:rFonts w:ascii="Verdana" w:hAnsi="Verdana"/>
        </w:rPr>
      </w:pPr>
      <w:r>
        <w:rPr>
          <w:rFonts w:ascii="Verdana" w:hAnsi="Verdana"/>
        </w:rPr>
        <w:t xml:space="preserve">Como se ha expuesto precedentemente, la modificación propuesta y detallada en este documento, consiste en la eliminación del </w:t>
      </w:r>
      <w:r w:rsidR="00AD201F">
        <w:rPr>
          <w:rFonts w:ascii="Verdana" w:hAnsi="Verdana"/>
        </w:rPr>
        <w:t xml:space="preserve">porcentaje de humedad y la modificación del número de contenedores evacuados en temporada alta de </w:t>
      </w:r>
      <w:r w:rsidR="00507864">
        <w:rPr>
          <w:rFonts w:ascii="Verdana" w:hAnsi="Verdana"/>
        </w:rPr>
        <w:t xml:space="preserve">un promedio de </w:t>
      </w:r>
      <w:r w:rsidR="00AD201F">
        <w:rPr>
          <w:rFonts w:ascii="Verdana" w:hAnsi="Verdana"/>
        </w:rPr>
        <w:t>8</w:t>
      </w:r>
      <w:r w:rsidR="00507864">
        <w:rPr>
          <w:rFonts w:ascii="Verdana" w:hAnsi="Verdana"/>
        </w:rPr>
        <w:t xml:space="preserve"> diarios</w:t>
      </w:r>
      <w:r w:rsidR="00AD201F">
        <w:rPr>
          <w:rFonts w:ascii="Verdana" w:hAnsi="Verdana"/>
        </w:rPr>
        <w:t xml:space="preserve">, </w:t>
      </w:r>
      <w:r>
        <w:rPr>
          <w:rFonts w:ascii="Verdana" w:hAnsi="Verdana"/>
        </w:rPr>
        <w:t xml:space="preserve">sin que se alteren los parámetros bajo los cuales opera y fue aprobado el funcionamiento de la Planta de Tratamiento de Riles de Aconcagua Foods. </w:t>
      </w:r>
    </w:p>
    <w:p w14:paraId="1AF4B68E" w14:textId="77777777" w:rsidR="007F4B8A" w:rsidRDefault="007F4B8A" w:rsidP="007F4B8A">
      <w:pPr>
        <w:ind w:firstLine="708"/>
        <w:jc w:val="both"/>
        <w:rPr>
          <w:rFonts w:ascii="Verdana" w:hAnsi="Verdana"/>
        </w:rPr>
      </w:pPr>
      <w:r>
        <w:rPr>
          <w:rFonts w:ascii="Verdana" w:hAnsi="Verdana"/>
        </w:rPr>
        <w:t xml:space="preserve">Esta modificación, no constituye, en sí misma, un proyecto o actividad listado en el artículo 3° del D.S. N°40/2012. </w:t>
      </w:r>
    </w:p>
    <w:p w14:paraId="390C2833" w14:textId="77777777" w:rsidR="007F4B8A" w:rsidRDefault="007F4B8A" w:rsidP="007F4B8A">
      <w:pPr>
        <w:ind w:firstLine="708"/>
        <w:jc w:val="both"/>
        <w:rPr>
          <w:rFonts w:ascii="Verdana" w:hAnsi="Verdana"/>
        </w:rPr>
      </w:pPr>
      <w:r>
        <w:rPr>
          <w:rFonts w:ascii="Verdana" w:hAnsi="Verdana"/>
        </w:rPr>
        <w:t>En lo específico, la tipología de proyecto que mejor refleja la modificación que se propone se encuentra en la letra o) del artículo 3° del Reglamento, que indica lo siguiente (para efecto de este análisis se cita a continuación solo aquellos párrafos pertinentes):</w:t>
      </w:r>
    </w:p>
    <w:p w14:paraId="226EF25D" w14:textId="77777777" w:rsidR="007F4B8A" w:rsidRPr="006A3A6D" w:rsidRDefault="007F4B8A" w:rsidP="007F4B8A">
      <w:pPr>
        <w:ind w:left="708"/>
        <w:jc w:val="both"/>
        <w:rPr>
          <w:rFonts w:ascii="Verdana" w:hAnsi="Verdana"/>
          <w:i/>
          <w:sz w:val="20"/>
          <w:szCs w:val="20"/>
        </w:rPr>
      </w:pPr>
      <w:r w:rsidRPr="006A3A6D">
        <w:rPr>
          <w:rFonts w:ascii="Verdana" w:hAnsi="Verdana"/>
          <w:sz w:val="20"/>
          <w:szCs w:val="20"/>
        </w:rPr>
        <w:t xml:space="preserve">“o) </w:t>
      </w:r>
      <w:r w:rsidRPr="006A3A6D">
        <w:rPr>
          <w:rFonts w:ascii="Verdana" w:hAnsi="Verdana"/>
          <w:i/>
          <w:sz w:val="20"/>
          <w:szCs w:val="20"/>
        </w:rPr>
        <w:t>Proyectos de saneamiento ambiental, tales como sistemas de alcantarillado y agua potable, plantas de tratamiento de agua o de residuos sólidos de origen domiciliario, rellenos sanitarios, emisarios submarinos, sistemas de tratamiento y disposición de residuos industriales líquidos o sólidos. Se entenderá por proyectos de saneamiento ambiental al conjunto de obras, servicios, técnicas, dispositivos o piezas que correspondan a:</w:t>
      </w:r>
    </w:p>
    <w:p w14:paraId="1554985A" w14:textId="77777777" w:rsidR="007F4B8A" w:rsidRDefault="00AD201F" w:rsidP="0082090D">
      <w:pPr>
        <w:ind w:left="708"/>
        <w:jc w:val="both"/>
        <w:rPr>
          <w:rFonts w:ascii="Verdana" w:hAnsi="Verdana"/>
          <w:i/>
          <w:sz w:val="20"/>
          <w:szCs w:val="20"/>
        </w:rPr>
      </w:pPr>
      <w:r>
        <w:rPr>
          <w:rFonts w:ascii="Verdana" w:hAnsi="Verdana"/>
          <w:i/>
          <w:sz w:val="20"/>
          <w:szCs w:val="20"/>
        </w:rPr>
        <w:t>o.8</w:t>
      </w:r>
      <w:r w:rsidR="0082090D">
        <w:rPr>
          <w:rFonts w:ascii="Verdana" w:hAnsi="Verdana"/>
          <w:i/>
          <w:sz w:val="20"/>
          <w:szCs w:val="20"/>
        </w:rPr>
        <w:t>. Sistemas de tratamiento, disposición y/o eliminación de residuos industriales sólidos con una capacidad igual o mayor a treinta toneladas día (30 t/día) de tratamiento o igual o superior a cincuenta toneladas (50 t) de disposición.</w:t>
      </w:r>
    </w:p>
    <w:p w14:paraId="7634254B" w14:textId="77777777" w:rsidR="007F4B8A" w:rsidRDefault="0082090D" w:rsidP="007F4B8A">
      <w:pPr>
        <w:ind w:firstLine="708"/>
        <w:jc w:val="both"/>
        <w:rPr>
          <w:rFonts w:ascii="Verdana" w:hAnsi="Verdana"/>
        </w:rPr>
      </w:pPr>
      <w:r>
        <w:rPr>
          <w:rFonts w:ascii="Verdana" w:hAnsi="Verdana"/>
        </w:rPr>
        <w:t>A raíz de esta modificación, Aconcagua Foods no almacenará los residuos en su planta</w:t>
      </w:r>
      <w:r w:rsidR="007F4B8A">
        <w:rPr>
          <w:rFonts w:ascii="Verdana" w:hAnsi="Verdana"/>
        </w:rPr>
        <w:t>.</w:t>
      </w:r>
    </w:p>
    <w:p w14:paraId="4987B3EB" w14:textId="77777777" w:rsidR="007F4B8A" w:rsidRPr="003E237E" w:rsidRDefault="007F4B8A" w:rsidP="007F4B8A">
      <w:pPr>
        <w:jc w:val="both"/>
        <w:rPr>
          <w:rFonts w:ascii="Verdana" w:hAnsi="Verdana"/>
          <w:i/>
        </w:rPr>
      </w:pPr>
      <w:r>
        <w:rPr>
          <w:rFonts w:ascii="Verdana" w:hAnsi="Verdana"/>
          <w:b/>
        </w:rPr>
        <w:t>b</w:t>
      </w:r>
      <w:r w:rsidRPr="006F1260">
        <w:rPr>
          <w:rFonts w:ascii="Verdana" w:hAnsi="Verdana"/>
          <w:b/>
        </w:rPr>
        <w:t>)</w:t>
      </w:r>
      <w:r>
        <w:rPr>
          <w:rFonts w:ascii="Verdana" w:hAnsi="Verdana"/>
          <w:b/>
        </w:rPr>
        <w:tab/>
      </w:r>
      <w:r w:rsidRPr="003E237E">
        <w:rPr>
          <w:rFonts w:ascii="Verdana" w:hAnsi="Verdana"/>
          <w:i/>
        </w:rPr>
        <w:t xml:space="preserve">g.2. Para los proyectos que se iniciaron de manera previa a la entrada en vigencia del sistema de evaluación de impacto ambiental, si la suma de las partes, obras o acciones tendientes a intervenir o complementar el proyecto o actividad de manera posterior a la entrada en vigencia de dicho sistema que no han sido calificados </w:t>
      </w:r>
      <w:r w:rsidRPr="003E237E">
        <w:rPr>
          <w:rFonts w:ascii="Verdana" w:hAnsi="Verdana"/>
          <w:i/>
        </w:rPr>
        <w:lastRenderedPageBreak/>
        <w:t xml:space="preserve">ambientalmente, constituye un proyecto o actividad listado en el artículo 3 del presente Reglamento. </w:t>
      </w:r>
    </w:p>
    <w:p w14:paraId="760E1A01" w14:textId="77777777" w:rsidR="007F4B8A" w:rsidRPr="006F1260" w:rsidRDefault="007F4B8A" w:rsidP="007F4B8A">
      <w:pPr>
        <w:ind w:firstLine="708"/>
        <w:jc w:val="both"/>
        <w:rPr>
          <w:rFonts w:ascii="Verdana" w:hAnsi="Verdana"/>
          <w:i/>
        </w:rPr>
      </w:pPr>
      <w:r>
        <w:rPr>
          <w:rFonts w:ascii="Verdana" w:hAnsi="Verdana"/>
        </w:rPr>
        <w:t>La modificación que se somete a análisis no cabe dentro de la hipótesis de la letra g.2. referida.</w:t>
      </w:r>
    </w:p>
    <w:p w14:paraId="16089E30" w14:textId="77777777" w:rsidR="007F4B8A" w:rsidRPr="006F1260" w:rsidRDefault="007F4B8A" w:rsidP="007F4B8A">
      <w:pPr>
        <w:jc w:val="both"/>
        <w:rPr>
          <w:rFonts w:ascii="Verdana" w:hAnsi="Verdana"/>
          <w:b/>
        </w:rPr>
      </w:pPr>
      <w:r w:rsidRPr="006F1260">
        <w:rPr>
          <w:rFonts w:ascii="Verdana" w:hAnsi="Verdana"/>
          <w:b/>
        </w:rPr>
        <w:t>c)</w:t>
      </w:r>
      <w:r w:rsidRPr="006F1260">
        <w:rPr>
          <w:rFonts w:ascii="Verdana" w:hAnsi="Verdana"/>
          <w:b/>
        </w:rPr>
        <w:tab/>
      </w:r>
      <w:r w:rsidRPr="003E237E">
        <w:rPr>
          <w:rFonts w:ascii="Verdana" w:hAnsi="Verdana"/>
          <w:i/>
        </w:rPr>
        <w:t xml:space="preserve">g.3. Las obras o acciones tendientes a intervenir o complementar el proyecto o actividad modifican sustantivamente la extensión, magnitud o </w:t>
      </w:r>
      <w:r w:rsidRPr="00927494">
        <w:rPr>
          <w:rFonts w:ascii="Verdana" w:hAnsi="Verdana"/>
          <w:i/>
        </w:rPr>
        <w:t>duración de los impactos ambientales del proyecto o actividad.</w:t>
      </w:r>
    </w:p>
    <w:p w14:paraId="63A95ACC" w14:textId="77777777" w:rsidR="007F4B8A" w:rsidRDefault="007F4B8A" w:rsidP="007F4B8A">
      <w:pPr>
        <w:ind w:firstLine="708"/>
        <w:jc w:val="both"/>
        <w:rPr>
          <w:rFonts w:ascii="Verdana" w:hAnsi="Verdana" w:cs="Tahoma"/>
        </w:rPr>
      </w:pPr>
      <w:r>
        <w:rPr>
          <w:rFonts w:ascii="Verdana" w:hAnsi="Verdana" w:cs="Tahoma"/>
        </w:rPr>
        <w:t xml:space="preserve">La modificación que se somete a su consideración no modifica la producción ni la extensión del impacto del proyecto calificado ambientalmente favorable por la RCA N°465/2013, puesto que la Planta de Tratamiento de RILes, desde su aprobación, ha operado dentro de los parámetros de diseño promedio y máximo sin ser estos superados, por lo tanto sin generar efectos negativos en el medio ambiente. </w:t>
      </w:r>
    </w:p>
    <w:p w14:paraId="730D2943" w14:textId="77777777" w:rsidR="007F4B8A" w:rsidRDefault="007F4B8A" w:rsidP="007F4B8A">
      <w:pPr>
        <w:ind w:firstLine="708"/>
        <w:jc w:val="both"/>
        <w:rPr>
          <w:rFonts w:ascii="Verdana" w:hAnsi="Verdana" w:cs="Tahoma"/>
        </w:rPr>
      </w:pPr>
      <w:r>
        <w:rPr>
          <w:rFonts w:ascii="Verdana" w:hAnsi="Verdana" w:cs="Tahoma"/>
        </w:rPr>
        <w:t xml:space="preserve">Reiteramos que la modificación que se propone no altera los parámetros diseño de funcionamiento de la Planta de Tratamiento de Riles, por lo que no se observa la generación de impactos adicionales en el área. </w:t>
      </w:r>
    </w:p>
    <w:p w14:paraId="5AF4D16B" w14:textId="77777777" w:rsidR="007F4B8A" w:rsidRDefault="007F4B8A" w:rsidP="007F4B8A">
      <w:pPr>
        <w:jc w:val="both"/>
        <w:rPr>
          <w:rFonts w:ascii="Verdana" w:hAnsi="Verdana"/>
          <w:i/>
        </w:rPr>
      </w:pPr>
      <w:r w:rsidRPr="006F1260">
        <w:rPr>
          <w:rFonts w:ascii="Verdana" w:hAnsi="Verdana"/>
          <w:b/>
        </w:rPr>
        <w:t>d)</w:t>
      </w:r>
      <w:r>
        <w:rPr>
          <w:rFonts w:ascii="Verdana" w:hAnsi="Verdana"/>
          <w:i/>
        </w:rPr>
        <w:tab/>
      </w:r>
      <w:r w:rsidRPr="00BB70FB">
        <w:rPr>
          <w:rFonts w:ascii="Verdana" w:hAnsi="Verdana"/>
          <w:i/>
        </w:rPr>
        <w:t>g.4. Las medidas de mitigación, reparación y compensación para hacerse cargo de los impactos significativos de un proyecto o actividad calificado ambientalmente, se ven modificadas sustantivamente</w:t>
      </w:r>
      <w:r>
        <w:rPr>
          <w:rFonts w:ascii="Verdana" w:hAnsi="Verdana"/>
          <w:i/>
        </w:rPr>
        <w:t>.</w:t>
      </w:r>
    </w:p>
    <w:p w14:paraId="7D12ED3A" w14:textId="77777777" w:rsidR="007F4B8A" w:rsidRDefault="007F4B8A" w:rsidP="007F4B8A">
      <w:pPr>
        <w:ind w:firstLine="708"/>
        <w:jc w:val="both"/>
        <w:rPr>
          <w:rFonts w:ascii="Verdana" w:hAnsi="Verdana"/>
        </w:rPr>
      </w:pPr>
      <w:r>
        <w:rPr>
          <w:rFonts w:ascii="Verdana" w:hAnsi="Verdana"/>
        </w:rPr>
        <w:t xml:space="preserve">La modificación propuesta no afecta la naturaleza esencial del proyecto y por tanto no implica la necesidad de implementar medidas de mitigación y compensación adicionales para hacerse cargo de los impactos del proyecto, de acuerdo a lo evaluado y aprobado previamente. </w:t>
      </w:r>
    </w:p>
    <w:p w14:paraId="5A23D7D5" w14:textId="77777777" w:rsidR="007F4B8A" w:rsidRDefault="007F4B8A" w:rsidP="007F4B8A">
      <w:pPr>
        <w:jc w:val="both"/>
        <w:rPr>
          <w:rFonts w:ascii="Verdana" w:hAnsi="Verdana"/>
        </w:rPr>
      </w:pPr>
      <w:r w:rsidRPr="006F1260">
        <w:rPr>
          <w:rFonts w:ascii="Verdana" w:hAnsi="Verdana"/>
          <w:b/>
        </w:rPr>
        <w:t>e)</w:t>
      </w:r>
      <w:r>
        <w:rPr>
          <w:rFonts w:ascii="Verdana" w:hAnsi="Verdana"/>
        </w:rPr>
        <w:tab/>
        <w:t>Finalmente, el referido literal g) del artículo 2 del Decreto Supremo 40/2012 señala que: “</w:t>
      </w:r>
      <w:r w:rsidRPr="009A0B7D">
        <w:rPr>
          <w:rFonts w:ascii="Verdana" w:hAnsi="Verdana"/>
          <w:i/>
        </w:rPr>
        <w:t>Para efectos de los casos anteriores, se considerarán los cambios sucesivos que haya sufrido el proyecto o actividad desde la entrada en vigencia del sistema de evaluación de impacto ambiental</w:t>
      </w:r>
      <w:r w:rsidRPr="009A0B7D">
        <w:rPr>
          <w:rFonts w:ascii="Verdana" w:hAnsi="Verdana"/>
        </w:rPr>
        <w:t>”.</w:t>
      </w:r>
    </w:p>
    <w:p w14:paraId="2C1BF9B2" w14:textId="77777777" w:rsidR="007F4B8A" w:rsidRDefault="007F4B8A" w:rsidP="007F4B8A">
      <w:pPr>
        <w:ind w:firstLine="708"/>
        <w:jc w:val="both"/>
        <w:rPr>
          <w:rFonts w:ascii="Verdana" w:hAnsi="Verdana" w:cs="Tahoma"/>
        </w:rPr>
      </w:pPr>
      <w:r>
        <w:rPr>
          <w:rFonts w:ascii="Verdana" w:hAnsi="Verdana"/>
        </w:rPr>
        <w:t>El proyecto calificado ambientalmente favorable por la RCA N°465/2013 ha sido objeto de dos consultas de pertinencia previas, ninguna de las cuales ha sido considerado un cambio de consideración ni dice relación con la eliminación del párrafo que se solicita:</w:t>
      </w:r>
    </w:p>
    <w:p w14:paraId="4846EA0B" w14:textId="24F11FCB" w:rsidR="007F4B8A" w:rsidRPr="00501BF5" w:rsidRDefault="007F4B8A" w:rsidP="00501BF5">
      <w:pPr>
        <w:pStyle w:val="Prrafodelista"/>
        <w:numPr>
          <w:ilvl w:val="0"/>
          <w:numId w:val="5"/>
        </w:numPr>
        <w:jc w:val="both"/>
        <w:rPr>
          <w:rFonts w:ascii="Verdana" w:hAnsi="Verdana" w:cs="Tahoma"/>
        </w:rPr>
      </w:pPr>
      <w:r w:rsidRPr="00501BF5">
        <w:rPr>
          <w:rFonts w:ascii="Verdana" w:hAnsi="Verdana" w:cs="Tahoma"/>
        </w:rPr>
        <w:t>Carta de 8 de agosto de 2014 en virtud de la cual se solicitó evaluar la modificación de la cantidad de almacenamiento y consumo de sustancias químicas y respecto de cambiar la periodicidad del análisis de composición de lodos obtenidos del sistema de tratamiento de Riles. Por Resolución N°262 de 12 de mayo de 2015 del Servicio de Evaluación Ambiental se indicó que estas modificaciones no requerían ingresar al Sistema de Evaluación Ambiental.</w:t>
      </w:r>
    </w:p>
    <w:p w14:paraId="638D93AB" w14:textId="77777777" w:rsidR="007F4B8A" w:rsidRPr="006F1260" w:rsidRDefault="007F4B8A" w:rsidP="00501BF5">
      <w:pPr>
        <w:pStyle w:val="Prrafodelista"/>
        <w:numPr>
          <w:ilvl w:val="0"/>
          <w:numId w:val="5"/>
        </w:numPr>
        <w:jc w:val="both"/>
        <w:rPr>
          <w:rFonts w:ascii="Verdana" w:hAnsi="Verdana" w:cs="Tahoma"/>
        </w:rPr>
      </w:pPr>
      <w:r>
        <w:rPr>
          <w:rFonts w:ascii="Verdana" w:hAnsi="Verdana" w:cs="Tahoma"/>
        </w:rPr>
        <w:lastRenderedPageBreak/>
        <w:t>Carta de 9 de marzo de 2017 en virtud de la cual se solicitó evaluar la pertinencia de ingreso al Sistema de Evaluación ambiental del proyecto Obras menores y mejoras en la operación de la Planta de Tratamiento de Riles Aconcagua Foods S.A. Por Resolución N°245 de 1 de junio de 2017 de este Servicio se concluyó que dicho proyecto no requería ingresar obligatoriamente al Sistema de Evaluación Ambiental.</w:t>
      </w:r>
      <w:r w:rsidRPr="006F1260">
        <w:rPr>
          <w:rFonts w:ascii="Verdana" w:hAnsi="Verdana" w:cs="Tahoma"/>
        </w:rPr>
        <w:t xml:space="preserve"> </w:t>
      </w:r>
    </w:p>
    <w:p w14:paraId="4966E1A2" w14:textId="77777777" w:rsidR="007F4B8A" w:rsidRDefault="007F4B8A" w:rsidP="007F4B8A">
      <w:pPr>
        <w:ind w:firstLine="708"/>
        <w:jc w:val="both"/>
        <w:rPr>
          <w:rFonts w:ascii="Verdana" w:hAnsi="Verdana" w:cs="Tahoma"/>
        </w:rPr>
      </w:pPr>
      <w:r>
        <w:rPr>
          <w:rFonts w:ascii="Verdana" w:hAnsi="Verdana" w:cs="Tahoma"/>
        </w:rPr>
        <w:t xml:space="preserve">La eliminación </w:t>
      </w:r>
      <w:r w:rsidR="0082090D">
        <w:rPr>
          <w:rFonts w:ascii="Verdana" w:hAnsi="Verdana" w:cs="Tahoma"/>
        </w:rPr>
        <w:t xml:space="preserve">y modificación </w:t>
      </w:r>
      <w:r>
        <w:rPr>
          <w:rFonts w:ascii="Verdana" w:hAnsi="Verdana" w:cs="Tahoma"/>
        </w:rPr>
        <w:t>propuesta</w:t>
      </w:r>
      <w:r w:rsidR="0082090D">
        <w:rPr>
          <w:rFonts w:ascii="Verdana" w:hAnsi="Verdana" w:cs="Tahoma"/>
        </w:rPr>
        <w:t>s en este punto</w:t>
      </w:r>
      <w:r>
        <w:rPr>
          <w:rFonts w:ascii="Verdana" w:hAnsi="Verdana" w:cs="Tahoma"/>
        </w:rPr>
        <w:t xml:space="preserve"> no conlleva modificaciones significativas en el funcionamiento de la Planta de Tratamiento, ni dice relación con consultas de pertinencias previas. </w:t>
      </w:r>
    </w:p>
    <w:p w14:paraId="0AEAEDE1" w14:textId="77777777" w:rsidR="00B50C03" w:rsidRDefault="0082090D" w:rsidP="0082090D">
      <w:pPr>
        <w:jc w:val="center"/>
        <w:rPr>
          <w:rFonts w:ascii="Verdana" w:hAnsi="Verdana" w:cs="Tahoma"/>
        </w:rPr>
      </w:pPr>
      <w:r>
        <w:rPr>
          <w:rFonts w:ascii="Verdana" w:hAnsi="Verdana" w:cs="Tahoma"/>
        </w:rPr>
        <w:t>- - - - - - - -</w:t>
      </w:r>
    </w:p>
    <w:p w14:paraId="71B48509" w14:textId="77777777" w:rsidR="0082090D" w:rsidRDefault="00094A3B" w:rsidP="00AF3F08">
      <w:pPr>
        <w:ind w:firstLine="708"/>
        <w:jc w:val="both"/>
        <w:rPr>
          <w:rFonts w:ascii="Verdana" w:hAnsi="Verdana" w:cs="Tahoma"/>
        </w:rPr>
      </w:pPr>
      <w:r>
        <w:rPr>
          <w:rFonts w:ascii="Verdana" w:hAnsi="Verdana" w:cs="Tahoma"/>
        </w:rPr>
        <w:t>Independiente del análisis presentado, estamos conscientes que esta definición es una facultad que corresponde a la autoridad, por lo que ponemos en su conocimiento los antecedentes a objeto de contar con su pronunciamiento</w:t>
      </w:r>
      <w:r w:rsidR="0082090D">
        <w:rPr>
          <w:rFonts w:ascii="Verdana" w:hAnsi="Verdana" w:cs="Tahoma"/>
        </w:rPr>
        <w:t>, para lo que acompañamos los siguientes documentos:</w:t>
      </w:r>
    </w:p>
    <w:p w14:paraId="3560A23B" w14:textId="77777777" w:rsidR="00507864" w:rsidRDefault="00507864" w:rsidP="00507864">
      <w:pPr>
        <w:jc w:val="center"/>
        <w:rPr>
          <w:rFonts w:ascii="Verdana" w:hAnsi="Verdana" w:cs="Tahoma"/>
        </w:rPr>
      </w:pPr>
      <w:r>
        <w:rPr>
          <w:rFonts w:ascii="Verdana" w:hAnsi="Verdana" w:cs="Tahoma"/>
        </w:rPr>
        <w:t>- - - - - - - -</w:t>
      </w:r>
    </w:p>
    <w:p w14:paraId="479E1AC6" w14:textId="77777777" w:rsidR="00507864" w:rsidRDefault="00507864" w:rsidP="00AF3F08">
      <w:pPr>
        <w:ind w:firstLine="708"/>
        <w:jc w:val="both"/>
        <w:rPr>
          <w:rFonts w:ascii="Verdana" w:hAnsi="Verdana" w:cs="Tahoma"/>
        </w:rPr>
      </w:pPr>
      <w:r>
        <w:rPr>
          <w:rFonts w:ascii="Verdana" w:hAnsi="Verdana" w:cs="Tahoma"/>
        </w:rPr>
        <w:t>Acompaño los siguientes documentos:</w:t>
      </w:r>
    </w:p>
    <w:p w14:paraId="0852544D" w14:textId="77777777" w:rsidR="001C1C41" w:rsidRDefault="001C1C41" w:rsidP="001C1C41">
      <w:pPr>
        <w:pStyle w:val="Prrafodelista"/>
        <w:numPr>
          <w:ilvl w:val="0"/>
          <w:numId w:val="4"/>
        </w:numPr>
        <w:jc w:val="both"/>
        <w:rPr>
          <w:rFonts w:ascii="Verdana" w:hAnsi="Verdana" w:cs="Tahoma"/>
        </w:rPr>
      </w:pPr>
      <w:r>
        <w:rPr>
          <w:rFonts w:ascii="Verdana" w:hAnsi="Verdana" w:cs="Tahoma"/>
        </w:rPr>
        <w:t>Resolución N°3</w:t>
      </w:r>
      <w:r w:rsidRPr="00E07248">
        <w:rPr>
          <w:rFonts w:ascii="Verdana" w:hAnsi="Verdana" w:cs="Tahoma"/>
        </w:rPr>
        <w:t>85 de 7 de junio de 2007 de la Comisión Regional de Medio ambiente, Región Metropolitana, que califica ambientalmente favorable el Proyecto “Sistema de Tratamiento de Riles, Planta Buin Aconcagua Foods S.A.”.</w:t>
      </w:r>
    </w:p>
    <w:p w14:paraId="5978B456" w14:textId="77777777" w:rsidR="001C1C41" w:rsidRDefault="001C1C41" w:rsidP="001C1C41">
      <w:pPr>
        <w:pStyle w:val="Prrafodelista"/>
        <w:numPr>
          <w:ilvl w:val="0"/>
          <w:numId w:val="4"/>
        </w:numPr>
        <w:jc w:val="both"/>
        <w:rPr>
          <w:rFonts w:ascii="Verdana" w:hAnsi="Verdana" w:cs="Tahoma"/>
        </w:rPr>
      </w:pPr>
      <w:r>
        <w:rPr>
          <w:rFonts w:ascii="Verdana" w:hAnsi="Verdana" w:cs="Tahoma"/>
        </w:rPr>
        <w:t>Resolución Exenta N°638 de 30 de octubre de 2014 de la SMA que establece programa de monitoreo provisional de la calidad del efluente generado por Aconcagua Foods.</w:t>
      </w:r>
    </w:p>
    <w:p w14:paraId="06AB2116" w14:textId="77777777" w:rsidR="001C1C41" w:rsidRDefault="001C1C41" w:rsidP="001C1C41">
      <w:pPr>
        <w:pStyle w:val="Prrafodelista"/>
        <w:numPr>
          <w:ilvl w:val="0"/>
          <w:numId w:val="4"/>
        </w:numPr>
        <w:jc w:val="both"/>
        <w:rPr>
          <w:rFonts w:ascii="Verdana" w:hAnsi="Verdana" w:cs="Tahoma"/>
        </w:rPr>
      </w:pPr>
      <w:r>
        <w:rPr>
          <w:rFonts w:ascii="Verdana" w:hAnsi="Verdana" w:cs="Tahoma"/>
        </w:rPr>
        <w:t>Resolución N°465 de 24 de septiembre de 2013 de la Comisión de Evaluación Región Metropolitana, que califica ambientalmente favorable el proyecto “Regularización y Mejoramiento del Sistema de Tratamiento de Riles, Aconcagua Foods S.A.”</w:t>
      </w:r>
    </w:p>
    <w:p w14:paraId="6E20F44C" w14:textId="77777777" w:rsidR="001C1C41" w:rsidRDefault="001C1C41" w:rsidP="001C1C41">
      <w:pPr>
        <w:pStyle w:val="Prrafodelista"/>
        <w:numPr>
          <w:ilvl w:val="0"/>
          <w:numId w:val="4"/>
        </w:numPr>
        <w:jc w:val="both"/>
        <w:rPr>
          <w:rFonts w:ascii="Verdana" w:hAnsi="Verdana" w:cs="Tahoma"/>
        </w:rPr>
      </w:pPr>
      <w:r>
        <w:rPr>
          <w:rFonts w:ascii="Verdana" w:hAnsi="Verdana" w:cs="Tahoma"/>
        </w:rPr>
        <w:t>Oficio Ordinario N°19 de 9 de enero de 2013 de la Dirección Regional de Aguas</w:t>
      </w:r>
    </w:p>
    <w:p w14:paraId="0149075E" w14:textId="77777777" w:rsidR="001C1C41" w:rsidRPr="00612E39" w:rsidRDefault="001C1C41" w:rsidP="001C1C41">
      <w:pPr>
        <w:pStyle w:val="Prrafodelista"/>
        <w:numPr>
          <w:ilvl w:val="0"/>
          <w:numId w:val="4"/>
        </w:numPr>
        <w:jc w:val="both"/>
        <w:rPr>
          <w:rFonts w:ascii="Verdana" w:hAnsi="Verdana" w:cs="Tahoma"/>
        </w:rPr>
      </w:pPr>
      <w:r>
        <w:rPr>
          <w:rFonts w:ascii="Verdana" w:hAnsi="Verdana"/>
        </w:rPr>
        <w:t>Informe Consolidado de la Evaluación de Impacto Ambiental.</w:t>
      </w:r>
    </w:p>
    <w:p w14:paraId="69AC4915" w14:textId="77777777" w:rsidR="001C1C41" w:rsidRDefault="001C1C41" w:rsidP="001C1C41">
      <w:pPr>
        <w:pStyle w:val="Prrafodelista"/>
        <w:numPr>
          <w:ilvl w:val="0"/>
          <w:numId w:val="4"/>
        </w:numPr>
        <w:jc w:val="both"/>
        <w:rPr>
          <w:rFonts w:ascii="Verdana" w:hAnsi="Verdana" w:cs="Tahoma"/>
        </w:rPr>
      </w:pPr>
      <w:r>
        <w:rPr>
          <w:rFonts w:ascii="Verdana" w:hAnsi="Verdana" w:cs="Tahoma"/>
        </w:rPr>
        <w:t>Adenda N° 1 de abril de 2013 al proyecto “Regularización y Mejoramiento del Sistema de Tratamiento de Riles, Aconcagua Foods. S.A.”.</w:t>
      </w:r>
    </w:p>
    <w:p w14:paraId="117CA3B8" w14:textId="77777777" w:rsidR="001C1C41" w:rsidRDefault="001C1C41" w:rsidP="001C1C41">
      <w:pPr>
        <w:pStyle w:val="Prrafodelista"/>
        <w:numPr>
          <w:ilvl w:val="0"/>
          <w:numId w:val="4"/>
        </w:numPr>
        <w:jc w:val="both"/>
        <w:rPr>
          <w:rFonts w:ascii="Verdana" w:hAnsi="Verdana" w:cs="Tahoma"/>
        </w:rPr>
      </w:pPr>
      <w:r>
        <w:rPr>
          <w:rFonts w:ascii="Verdana" w:hAnsi="Verdana" w:cs="Tahoma"/>
        </w:rPr>
        <w:t>Registro de caudales del afluente de la Planta de Tratamiento de Riles correspondiente a los meses de Enero, Febrero y Marzo, todos del año 2019.</w:t>
      </w:r>
    </w:p>
    <w:p w14:paraId="75A176CC" w14:textId="77777777" w:rsidR="001C1C41" w:rsidRDefault="001C1C41" w:rsidP="001C1C41">
      <w:pPr>
        <w:pStyle w:val="Prrafodelista"/>
        <w:numPr>
          <w:ilvl w:val="0"/>
          <w:numId w:val="4"/>
        </w:numPr>
        <w:jc w:val="both"/>
        <w:rPr>
          <w:rFonts w:ascii="Verdana" w:hAnsi="Verdana" w:cs="Tahoma"/>
        </w:rPr>
      </w:pPr>
      <w:r>
        <w:rPr>
          <w:rFonts w:ascii="Verdana" w:hAnsi="Verdana" w:cs="Tahoma"/>
        </w:rPr>
        <w:t>Resolución N° 1/Rol D-033-2019 de 5 de abril de 2019 de la Superintendencia del Medio Ambiente, por la que se formulan cargos en contra de Aconcagua Foods S.A.</w:t>
      </w:r>
    </w:p>
    <w:p w14:paraId="4E576FB6" w14:textId="77777777" w:rsidR="001C1C41" w:rsidRDefault="001C1C41" w:rsidP="001C1C41">
      <w:pPr>
        <w:pStyle w:val="Prrafodelista"/>
        <w:numPr>
          <w:ilvl w:val="0"/>
          <w:numId w:val="4"/>
        </w:numPr>
        <w:jc w:val="both"/>
        <w:rPr>
          <w:rFonts w:ascii="Verdana" w:hAnsi="Verdana" w:cs="Tahoma"/>
        </w:rPr>
      </w:pPr>
      <w:r>
        <w:rPr>
          <w:rFonts w:ascii="Verdana" w:hAnsi="Verdana" w:cs="Tahoma"/>
        </w:rPr>
        <w:t>Plan de Contingencia Planta de Tratamiento de Riles Aconcagua Foods de febrero de 2019.</w:t>
      </w:r>
    </w:p>
    <w:p w14:paraId="0B657FD9" w14:textId="77777777" w:rsidR="001C1C41" w:rsidRPr="00612E39" w:rsidRDefault="001C1C41" w:rsidP="001C1C41">
      <w:pPr>
        <w:pStyle w:val="Prrafodelista"/>
        <w:numPr>
          <w:ilvl w:val="0"/>
          <w:numId w:val="4"/>
        </w:numPr>
        <w:jc w:val="both"/>
        <w:rPr>
          <w:rFonts w:ascii="Verdana" w:hAnsi="Verdana" w:cs="Tahoma"/>
        </w:rPr>
      </w:pPr>
      <w:r>
        <w:rPr>
          <w:rFonts w:ascii="Verdana" w:hAnsi="Verdana" w:cs="Tahoma"/>
        </w:rPr>
        <w:lastRenderedPageBreak/>
        <w:t xml:space="preserve">Informe Interno SQC-57758 de 5 de marzo de 2019 de determinación de características de peligrosidad de un residuo Aconcagua Foods S.A., elaborado por </w:t>
      </w:r>
      <w:r w:rsidRPr="00612E39">
        <w:rPr>
          <w:rFonts w:ascii="Verdana" w:hAnsi="Verdana" w:cs="Tahoma"/>
        </w:rPr>
        <w:t xml:space="preserve">Centro de </w:t>
      </w:r>
      <w:bookmarkStart w:id="0" w:name="_GoBack"/>
      <w:bookmarkEnd w:id="0"/>
      <w:r w:rsidRPr="00612E39">
        <w:rPr>
          <w:rFonts w:ascii="Verdana" w:hAnsi="Verdana" w:cs="Tahoma"/>
        </w:rPr>
        <w:t>Estudios Medición y Certificación de Calidad,</w:t>
      </w:r>
      <w:r>
        <w:rPr>
          <w:rFonts w:ascii="Verdana" w:hAnsi="Verdana" w:cs="Tahoma"/>
        </w:rPr>
        <w:t xml:space="preserve"> </w:t>
      </w:r>
      <w:r w:rsidRPr="00612E39">
        <w:rPr>
          <w:rFonts w:ascii="Verdana" w:hAnsi="Verdana" w:cs="Tahoma"/>
        </w:rPr>
        <w:t>CESMEC S.A.</w:t>
      </w:r>
    </w:p>
    <w:p w14:paraId="4FE65C6E" w14:textId="77777777" w:rsidR="001C1C41" w:rsidRDefault="001C1C41" w:rsidP="001C1C41">
      <w:pPr>
        <w:pStyle w:val="Prrafodelista"/>
        <w:numPr>
          <w:ilvl w:val="0"/>
          <w:numId w:val="4"/>
        </w:numPr>
        <w:jc w:val="both"/>
        <w:rPr>
          <w:rFonts w:ascii="Verdana" w:hAnsi="Verdana" w:cs="Tahoma"/>
        </w:rPr>
      </w:pPr>
      <w:r>
        <w:rPr>
          <w:rFonts w:ascii="Verdana" w:hAnsi="Verdana" w:cs="Tahoma"/>
        </w:rPr>
        <w:t>Estudio Sobre Normativa de Uso de Residuos Agroindustriales Como Enmiendas de Suelos de la Facultad de Agronomía e Ingeniería Forestal de la Pontificia Universidad Católica de Chile de marzo de 2014.</w:t>
      </w:r>
    </w:p>
    <w:p w14:paraId="5374D56E" w14:textId="77777777" w:rsidR="001C1C41" w:rsidRDefault="001C1C41" w:rsidP="001C1C41">
      <w:pPr>
        <w:pStyle w:val="Prrafodelista"/>
        <w:numPr>
          <w:ilvl w:val="0"/>
          <w:numId w:val="4"/>
        </w:numPr>
        <w:jc w:val="both"/>
        <w:rPr>
          <w:rFonts w:ascii="Verdana" w:hAnsi="Verdana" w:cs="Tahoma"/>
        </w:rPr>
      </w:pPr>
      <w:r>
        <w:rPr>
          <w:rFonts w:ascii="Verdana" w:hAnsi="Verdana" w:cs="Tahoma"/>
        </w:rPr>
        <w:t>Carta presentada el día 24 de abril de 2019 por ChileAlimentos al Subsecretario de Medio Ambiente, solicitando la modificación del D.S. N° 3/2012, en cuanto a la eliminación de su artículo 4°.</w:t>
      </w:r>
    </w:p>
    <w:p w14:paraId="442CC543" w14:textId="77777777" w:rsidR="001C1C41" w:rsidRDefault="001C1C41" w:rsidP="001C1C41">
      <w:pPr>
        <w:pStyle w:val="Prrafodelista"/>
        <w:numPr>
          <w:ilvl w:val="0"/>
          <w:numId w:val="4"/>
        </w:numPr>
        <w:jc w:val="both"/>
        <w:rPr>
          <w:rFonts w:ascii="Verdana" w:hAnsi="Verdana" w:cs="Tahoma"/>
        </w:rPr>
      </w:pPr>
      <w:r>
        <w:rPr>
          <w:rFonts w:ascii="Verdana" w:hAnsi="Verdana" w:cs="Tahoma"/>
        </w:rPr>
        <w:t>Resolución N°54621 de 17 de octubre de 2017 de la Seremi de Salud RM que autoriza a Aconcagua Foods a disponer sus lodos en Agroorgánicos Mostazal.</w:t>
      </w:r>
    </w:p>
    <w:p w14:paraId="188191DE" w14:textId="29724E58" w:rsidR="003D0FF7" w:rsidRDefault="003D0FF7" w:rsidP="001C1C41">
      <w:pPr>
        <w:pStyle w:val="Prrafodelista"/>
        <w:numPr>
          <w:ilvl w:val="0"/>
          <w:numId w:val="4"/>
        </w:numPr>
        <w:jc w:val="both"/>
        <w:rPr>
          <w:rFonts w:ascii="Verdana" w:hAnsi="Verdana" w:cs="Tahoma"/>
        </w:rPr>
      </w:pPr>
      <w:r>
        <w:rPr>
          <w:rFonts w:ascii="Verdana" w:hAnsi="Verdana" w:cs="Tahoma"/>
        </w:rPr>
        <w:t>Plano Layout de la PTR.</w:t>
      </w:r>
    </w:p>
    <w:p w14:paraId="626DCD85" w14:textId="178C9722" w:rsidR="003D0FF7" w:rsidRDefault="003D0FF7" w:rsidP="001C1C41">
      <w:pPr>
        <w:pStyle w:val="Prrafodelista"/>
        <w:numPr>
          <w:ilvl w:val="0"/>
          <w:numId w:val="4"/>
        </w:numPr>
        <w:jc w:val="both"/>
        <w:rPr>
          <w:rFonts w:ascii="Verdana" w:hAnsi="Verdana" w:cs="Tahoma"/>
        </w:rPr>
      </w:pPr>
      <w:r>
        <w:rPr>
          <w:rFonts w:ascii="Verdana" w:hAnsi="Verdana" w:cs="Tahoma"/>
        </w:rPr>
        <w:t>Copia simple de la escritura pública de 25 de septiembre de 2013 suscrita en la notaría pública de Buin de doña Myriam Escobar, donde consta mi personería para representar a Aconcagua Foods.</w:t>
      </w:r>
    </w:p>
    <w:p w14:paraId="326E2DBC" w14:textId="7D701999" w:rsidR="001C1C41" w:rsidRDefault="001C1C41" w:rsidP="001C1C41">
      <w:pPr>
        <w:ind w:left="360"/>
        <w:jc w:val="center"/>
        <w:rPr>
          <w:rFonts w:ascii="Verdana" w:hAnsi="Verdana" w:cs="Tahoma"/>
        </w:rPr>
      </w:pPr>
      <w:r>
        <w:rPr>
          <w:rFonts w:ascii="Verdana" w:hAnsi="Verdana" w:cs="Tahoma"/>
        </w:rPr>
        <w:t>- - - - - - -</w:t>
      </w:r>
    </w:p>
    <w:p w14:paraId="331DE7EC" w14:textId="4D88DC57" w:rsidR="001C1C41" w:rsidRDefault="001C1C41" w:rsidP="001C1C41">
      <w:pPr>
        <w:ind w:left="360"/>
        <w:rPr>
          <w:rFonts w:ascii="Verdana" w:hAnsi="Verdana" w:cs="Tahoma"/>
        </w:rPr>
      </w:pPr>
      <w:r>
        <w:rPr>
          <w:rFonts w:ascii="Verdana" w:hAnsi="Verdana" w:cs="Tahoma"/>
        </w:rPr>
        <w:tab/>
        <w:t xml:space="preserve">Para efectos de complementar u adicionar cualquier información que se requiera, señalo los siguientes correos electrónicos: </w:t>
      </w:r>
      <w:hyperlink r:id="rId11" w:history="1">
        <w:r w:rsidRPr="00700249">
          <w:rPr>
            <w:rStyle w:val="Hipervnculo"/>
            <w:rFonts w:ascii="Verdana" w:hAnsi="Verdana" w:cs="Tahoma"/>
          </w:rPr>
          <w:t>beatriz.riveros@dgar.cl</w:t>
        </w:r>
      </w:hyperlink>
      <w:r>
        <w:rPr>
          <w:rFonts w:ascii="Verdana" w:hAnsi="Verdana" w:cs="Tahoma"/>
        </w:rPr>
        <w:t xml:space="preserve"> y etrujillo@aconcaguafoods.cl</w:t>
      </w:r>
    </w:p>
    <w:p w14:paraId="110DA8D7" w14:textId="77777777" w:rsidR="001C1C41" w:rsidRDefault="001C1C41" w:rsidP="001C1C41">
      <w:pPr>
        <w:ind w:left="360"/>
        <w:jc w:val="center"/>
        <w:rPr>
          <w:rFonts w:ascii="Verdana" w:hAnsi="Verdana" w:cs="Tahoma"/>
        </w:rPr>
      </w:pPr>
      <w:r>
        <w:rPr>
          <w:rFonts w:ascii="Verdana" w:hAnsi="Verdana" w:cs="Tahoma"/>
        </w:rPr>
        <w:t>- - - - - - -</w:t>
      </w:r>
    </w:p>
    <w:p w14:paraId="2BAA3437" w14:textId="5A267970" w:rsidR="001C1C41" w:rsidRPr="001C1C41" w:rsidRDefault="001C1C41" w:rsidP="001C1C41">
      <w:pPr>
        <w:jc w:val="both"/>
        <w:rPr>
          <w:rFonts w:ascii="Verdana" w:hAnsi="Verdana" w:cs="Tahoma"/>
        </w:rPr>
      </w:pPr>
    </w:p>
    <w:p w14:paraId="7EB7255F" w14:textId="77777777" w:rsidR="00094A3B" w:rsidRDefault="00094A3B" w:rsidP="00AF3F08">
      <w:pPr>
        <w:ind w:firstLine="708"/>
        <w:jc w:val="both"/>
        <w:rPr>
          <w:rFonts w:ascii="Verdana" w:hAnsi="Verdana" w:cs="Tahoma"/>
        </w:rPr>
      </w:pPr>
      <w:r>
        <w:rPr>
          <w:rFonts w:ascii="Verdana" w:hAnsi="Verdana" w:cs="Tahoma"/>
        </w:rPr>
        <w:t>Sin otro particular, y en espera de una favorable acogida al análisis que le presentamos, le saluda aten</w:t>
      </w:r>
      <w:r w:rsidR="00AE149D">
        <w:rPr>
          <w:rFonts w:ascii="Verdana" w:hAnsi="Verdana" w:cs="Tahoma"/>
        </w:rPr>
        <w:t>tamente a U</w:t>
      </w:r>
      <w:r>
        <w:rPr>
          <w:rFonts w:ascii="Verdana" w:hAnsi="Verdana" w:cs="Tahoma"/>
        </w:rPr>
        <w:t>d.</w:t>
      </w:r>
    </w:p>
    <w:p w14:paraId="5321B342" w14:textId="77777777" w:rsidR="009A0B7D" w:rsidRPr="009A0B7D" w:rsidRDefault="009A0B7D" w:rsidP="009A0B7D">
      <w:pPr>
        <w:ind w:firstLine="708"/>
        <w:jc w:val="both"/>
        <w:rPr>
          <w:rFonts w:ascii="Verdana" w:hAnsi="Verdana" w:cs="Tahoma"/>
          <w:i/>
        </w:rPr>
      </w:pPr>
    </w:p>
    <w:p w14:paraId="4EE6CDA8" w14:textId="77777777" w:rsidR="009A0B7D" w:rsidRDefault="009A0B7D" w:rsidP="00E8102E">
      <w:pPr>
        <w:ind w:firstLine="708"/>
        <w:jc w:val="both"/>
        <w:rPr>
          <w:rFonts w:ascii="Verdana" w:hAnsi="Verdana" w:cs="Tahoma"/>
        </w:rPr>
      </w:pPr>
    </w:p>
    <w:p w14:paraId="076C8857" w14:textId="77777777" w:rsidR="00AE38FB" w:rsidRDefault="00AE38FB" w:rsidP="00AE38FB">
      <w:pPr>
        <w:jc w:val="both"/>
        <w:rPr>
          <w:rFonts w:ascii="Verdana" w:hAnsi="Verdana"/>
        </w:rPr>
      </w:pPr>
    </w:p>
    <w:p w14:paraId="69B73111" w14:textId="5412E9D7" w:rsidR="00AE38FB" w:rsidRDefault="00AE38FB" w:rsidP="001C1C41">
      <w:pPr>
        <w:jc w:val="center"/>
        <w:rPr>
          <w:rFonts w:ascii="Verdana" w:hAnsi="Verdana"/>
        </w:rPr>
      </w:pPr>
    </w:p>
    <w:p w14:paraId="33E2539C" w14:textId="77777777" w:rsidR="00AE38FB" w:rsidRDefault="00AE38FB" w:rsidP="001C1C41">
      <w:pPr>
        <w:jc w:val="center"/>
        <w:rPr>
          <w:rFonts w:ascii="Verdana" w:hAnsi="Verdana"/>
        </w:rPr>
      </w:pPr>
      <w:r>
        <w:rPr>
          <w:rFonts w:ascii="Verdana" w:hAnsi="Verdana"/>
        </w:rPr>
        <w:t>Beatriz Riveros de G.</w:t>
      </w:r>
    </w:p>
    <w:p w14:paraId="0CAE59DF" w14:textId="77777777" w:rsidR="00AE38FB" w:rsidRDefault="00AE38FB" w:rsidP="001C1C41">
      <w:pPr>
        <w:jc w:val="center"/>
        <w:rPr>
          <w:rFonts w:ascii="Verdana" w:hAnsi="Verdana"/>
        </w:rPr>
      </w:pPr>
      <w:r>
        <w:rPr>
          <w:rFonts w:ascii="Verdana" w:hAnsi="Verdana"/>
        </w:rPr>
        <w:t>p.p.: “</w:t>
      </w:r>
      <w:r w:rsidRPr="001C1C41">
        <w:rPr>
          <w:rFonts w:ascii="Verdana" w:hAnsi="Verdana"/>
          <w:b/>
        </w:rPr>
        <w:t>Aconcagua Foods S.A.</w:t>
      </w:r>
      <w:r>
        <w:rPr>
          <w:rFonts w:ascii="Verdana" w:hAnsi="Verdana"/>
        </w:rPr>
        <w:t>”</w:t>
      </w:r>
    </w:p>
    <w:p w14:paraId="17BA7D75" w14:textId="77777777" w:rsidR="00AE38FB" w:rsidRDefault="00AE38FB" w:rsidP="001C1C41">
      <w:pPr>
        <w:jc w:val="center"/>
      </w:pPr>
    </w:p>
    <w:p w14:paraId="686BA2E1" w14:textId="77777777" w:rsidR="00FA0E93" w:rsidRDefault="000748C4"/>
    <w:sectPr w:rsidR="00FA0E93" w:rsidSect="0066121F">
      <w:footerReference w:type="default" r:id="rId12"/>
      <w:pgSz w:w="12240" w:h="15840"/>
      <w:pgMar w:top="1440" w:right="1080" w:bottom="1440" w:left="1080"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B66D1A6" w15:done="0"/>
  <w15:commentEx w15:paraId="3285C7AA" w15:done="0"/>
  <w15:commentEx w15:paraId="5149900F" w15:done="0"/>
  <w15:commentEx w15:paraId="0E287E5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F20F71" w14:textId="77777777" w:rsidR="000748C4" w:rsidRDefault="000748C4" w:rsidP="005C7B90">
      <w:pPr>
        <w:spacing w:after="0" w:line="240" w:lineRule="auto"/>
      </w:pPr>
      <w:r>
        <w:separator/>
      </w:r>
    </w:p>
  </w:endnote>
  <w:endnote w:type="continuationSeparator" w:id="0">
    <w:p w14:paraId="33A59F67" w14:textId="77777777" w:rsidR="000748C4" w:rsidRDefault="000748C4" w:rsidP="005C7B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3471782"/>
      <w:docPartObj>
        <w:docPartGallery w:val="Page Numbers (Bottom of Page)"/>
        <w:docPartUnique/>
      </w:docPartObj>
    </w:sdtPr>
    <w:sdtEndPr/>
    <w:sdtContent>
      <w:p w14:paraId="0261927D" w14:textId="77777777" w:rsidR="005C7B90" w:rsidRDefault="005C7B90">
        <w:pPr>
          <w:pStyle w:val="Piedepgina"/>
          <w:jc w:val="center"/>
        </w:pPr>
        <w:r>
          <w:fldChar w:fldCharType="begin"/>
        </w:r>
        <w:r>
          <w:instrText>PAGE   \* MERGEFORMAT</w:instrText>
        </w:r>
        <w:r>
          <w:fldChar w:fldCharType="separate"/>
        </w:r>
        <w:r w:rsidR="0059453E" w:rsidRPr="0059453E">
          <w:rPr>
            <w:noProof/>
            <w:lang w:val="es-ES"/>
          </w:rPr>
          <w:t>20</w:t>
        </w:r>
        <w:r>
          <w:fldChar w:fldCharType="end"/>
        </w:r>
      </w:p>
    </w:sdtContent>
  </w:sdt>
  <w:p w14:paraId="743D8579" w14:textId="77777777" w:rsidR="005C7B90" w:rsidRDefault="005C7B90">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726AC7" w14:textId="77777777" w:rsidR="000748C4" w:rsidRDefault="000748C4" w:rsidP="005C7B90">
      <w:pPr>
        <w:spacing w:after="0" w:line="240" w:lineRule="auto"/>
      </w:pPr>
      <w:r>
        <w:separator/>
      </w:r>
    </w:p>
  </w:footnote>
  <w:footnote w:type="continuationSeparator" w:id="0">
    <w:p w14:paraId="0AEC779F" w14:textId="77777777" w:rsidR="000748C4" w:rsidRDefault="000748C4" w:rsidP="005C7B90">
      <w:pPr>
        <w:spacing w:after="0" w:line="240" w:lineRule="auto"/>
      </w:pPr>
      <w:r>
        <w:continuationSeparator/>
      </w:r>
    </w:p>
  </w:footnote>
  <w:footnote w:id="1">
    <w:p w14:paraId="1674EA58" w14:textId="77777777" w:rsidR="005C7B90" w:rsidRDefault="005C7B90">
      <w:pPr>
        <w:pStyle w:val="Textonotapie"/>
      </w:pPr>
      <w:r>
        <w:rPr>
          <w:rStyle w:val="Refdenotaalpie"/>
        </w:rPr>
        <w:footnoteRef/>
      </w:r>
      <w:r>
        <w:t xml:space="preserve"> Punto 3.3 de la RCA N°385/2007</w:t>
      </w:r>
    </w:p>
  </w:footnote>
  <w:footnote w:id="2">
    <w:p w14:paraId="1E4EF149" w14:textId="77777777" w:rsidR="00596428" w:rsidRDefault="00596428">
      <w:pPr>
        <w:pStyle w:val="Textonotapie"/>
      </w:pPr>
      <w:r>
        <w:rPr>
          <w:rStyle w:val="Refdenotaalpie"/>
        </w:rPr>
        <w:footnoteRef/>
      </w:r>
      <w:r>
        <w:t xml:space="preserve"> Incluso Aconcagua Foods fue sujeto de un Procedimiento Sancionatorio por parte de la Superintendencia de Medio Ambiente iniciado el 11 de julio de 2016, que terminó satisfactoriamente con la aprobación de un Programa de Cumplimiento por parte de la autoridad ambiental, donde se consideraron en todo momento los caudales promedios y máximos de operación sin que fuesen observador ni objetados por ésta</w:t>
      </w:r>
      <w:r w:rsidR="006F1260">
        <w:t>, no haciendo alusión al caudal de 9.500 m3/d</w:t>
      </w:r>
      <w:r>
        <w:t>.</w:t>
      </w:r>
    </w:p>
  </w:footnote>
  <w:footnote w:id="3">
    <w:p w14:paraId="558B43A7" w14:textId="77777777" w:rsidR="006733C1" w:rsidRDefault="006733C1">
      <w:pPr>
        <w:pStyle w:val="Textonotapie"/>
      </w:pPr>
      <w:r>
        <w:rPr>
          <w:rStyle w:val="Refdenotaalpie"/>
        </w:rPr>
        <w:footnoteRef/>
      </w:r>
      <w:r>
        <w:t xml:space="preserve"> Entre los antecedentes técnicos no consta ningún sustento </w:t>
      </w:r>
      <w:r w:rsidR="00122D61">
        <w:t>que permita sostener ese número, ni en la actualidad ni en la época en que se respondió la consulta formulada, lo que lleva a convencernos que fue un error por parte del titular.</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7E5537"/>
    <w:multiLevelType w:val="hybridMultilevel"/>
    <w:tmpl w:val="0298F7AE"/>
    <w:lvl w:ilvl="0" w:tplc="954AE544">
      <w:start w:val="2"/>
      <w:numFmt w:val="bullet"/>
      <w:lvlText w:val="-"/>
      <w:lvlJc w:val="left"/>
      <w:pPr>
        <w:ind w:left="720" w:hanging="360"/>
      </w:pPr>
      <w:rPr>
        <w:rFonts w:ascii="Verdana" w:eastAsiaTheme="minorHAnsi" w:hAnsi="Verdana" w:cs="Tahoma"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nsid w:val="2D62328B"/>
    <w:multiLevelType w:val="hybridMultilevel"/>
    <w:tmpl w:val="EF9CD246"/>
    <w:lvl w:ilvl="0" w:tplc="53925C06">
      <w:start w:val="1"/>
      <w:numFmt w:val="lowerRoman"/>
      <w:lvlText w:val="(%1)"/>
      <w:lvlJc w:val="left"/>
      <w:pPr>
        <w:ind w:left="1440" w:hanging="1080"/>
      </w:pPr>
      <w:rPr>
        <w:rFonts w:hint="default"/>
        <w:b/>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
    <w:nsid w:val="515C08AD"/>
    <w:multiLevelType w:val="hybridMultilevel"/>
    <w:tmpl w:val="2AB48C02"/>
    <w:lvl w:ilvl="0" w:tplc="A06AB410">
      <w:start w:val="1"/>
      <w:numFmt w:val="lowerRoman"/>
      <w:lvlText w:val="(%1)"/>
      <w:lvlJc w:val="left"/>
      <w:pPr>
        <w:ind w:left="1440" w:hanging="1080"/>
      </w:pPr>
      <w:rPr>
        <w:rFonts w:hint="default"/>
        <w:b/>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nsid w:val="5D597294"/>
    <w:multiLevelType w:val="hybridMultilevel"/>
    <w:tmpl w:val="E95CEFC6"/>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
    <w:nsid w:val="79673DF1"/>
    <w:multiLevelType w:val="hybridMultilevel"/>
    <w:tmpl w:val="0930CDDA"/>
    <w:lvl w:ilvl="0" w:tplc="BAB67B86">
      <w:start w:val="1"/>
      <w:numFmt w:val="decimal"/>
      <w:lvlText w:val="%1."/>
      <w:lvlJc w:val="left"/>
      <w:pPr>
        <w:ind w:left="720" w:hanging="360"/>
      </w:pPr>
      <w:rPr>
        <w:rFonts w:hint="default"/>
        <w:b/>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onso Paredes">
    <w15:presenceInfo w15:providerId="Windows Live" w15:userId="f1f49bc0511d7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38FB"/>
    <w:rsid w:val="00024CF0"/>
    <w:rsid w:val="000721A3"/>
    <w:rsid w:val="000748C4"/>
    <w:rsid w:val="00094A3B"/>
    <w:rsid w:val="000A11B8"/>
    <w:rsid w:val="000A75F3"/>
    <w:rsid w:val="000B476B"/>
    <w:rsid w:val="000F1926"/>
    <w:rsid w:val="00122D61"/>
    <w:rsid w:val="00127AA2"/>
    <w:rsid w:val="001B0A38"/>
    <w:rsid w:val="001B4957"/>
    <w:rsid w:val="001C06AE"/>
    <w:rsid w:val="001C1C41"/>
    <w:rsid w:val="001F4CAA"/>
    <w:rsid w:val="00204259"/>
    <w:rsid w:val="00210B7F"/>
    <w:rsid w:val="00253C52"/>
    <w:rsid w:val="00277F8F"/>
    <w:rsid w:val="002A112F"/>
    <w:rsid w:val="002C4A24"/>
    <w:rsid w:val="002D033C"/>
    <w:rsid w:val="002F378A"/>
    <w:rsid w:val="002F7539"/>
    <w:rsid w:val="00333718"/>
    <w:rsid w:val="003911B2"/>
    <w:rsid w:val="00394F62"/>
    <w:rsid w:val="00397B6D"/>
    <w:rsid w:val="003A608B"/>
    <w:rsid w:val="003A777A"/>
    <w:rsid w:val="003D0FF7"/>
    <w:rsid w:val="003E237E"/>
    <w:rsid w:val="003F3E6C"/>
    <w:rsid w:val="004223DA"/>
    <w:rsid w:val="0046009E"/>
    <w:rsid w:val="00461AD7"/>
    <w:rsid w:val="0047693F"/>
    <w:rsid w:val="0048039C"/>
    <w:rsid w:val="00482F10"/>
    <w:rsid w:val="00491B20"/>
    <w:rsid w:val="004B6BF3"/>
    <w:rsid w:val="00501BF5"/>
    <w:rsid w:val="00507864"/>
    <w:rsid w:val="00583D75"/>
    <w:rsid w:val="0059453E"/>
    <w:rsid w:val="00596428"/>
    <w:rsid w:val="005B0890"/>
    <w:rsid w:val="005C7B90"/>
    <w:rsid w:val="005F1241"/>
    <w:rsid w:val="00626C08"/>
    <w:rsid w:val="006353BF"/>
    <w:rsid w:val="0066121F"/>
    <w:rsid w:val="00665ADB"/>
    <w:rsid w:val="006733C1"/>
    <w:rsid w:val="006916DF"/>
    <w:rsid w:val="006A3A6D"/>
    <w:rsid w:val="006B0EE0"/>
    <w:rsid w:val="006C534D"/>
    <w:rsid w:val="006C57B2"/>
    <w:rsid w:val="006F1260"/>
    <w:rsid w:val="00741723"/>
    <w:rsid w:val="00785968"/>
    <w:rsid w:val="007A5D4B"/>
    <w:rsid w:val="007D7E3B"/>
    <w:rsid w:val="007F15BD"/>
    <w:rsid w:val="007F4B8A"/>
    <w:rsid w:val="00812D31"/>
    <w:rsid w:val="0082090D"/>
    <w:rsid w:val="00827EBF"/>
    <w:rsid w:val="008479A8"/>
    <w:rsid w:val="008715AD"/>
    <w:rsid w:val="0087592D"/>
    <w:rsid w:val="008A3B71"/>
    <w:rsid w:val="008B2AE1"/>
    <w:rsid w:val="00922423"/>
    <w:rsid w:val="00927494"/>
    <w:rsid w:val="00935B17"/>
    <w:rsid w:val="009A0B7D"/>
    <w:rsid w:val="009C585B"/>
    <w:rsid w:val="009D2C3F"/>
    <w:rsid w:val="009E1D52"/>
    <w:rsid w:val="00A136F2"/>
    <w:rsid w:val="00A242C0"/>
    <w:rsid w:val="00A25429"/>
    <w:rsid w:val="00A8734D"/>
    <w:rsid w:val="00A971FD"/>
    <w:rsid w:val="00AB0ECE"/>
    <w:rsid w:val="00AD201F"/>
    <w:rsid w:val="00AE149D"/>
    <w:rsid w:val="00AE38FB"/>
    <w:rsid w:val="00AE6BA5"/>
    <w:rsid w:val="00AF3F08"/>
    <w:rsid w:val="00AF4FBB"/>
    <w:rsid w:val="00B01432"/>
    <w:rsid w:val="00B05FBF"/>
    <w:rsid w:val="00B37EB5"/>
    <w:rsid w:val="00B50C03"/>
    <w:rsid w:val="00B65D3C"/>
    <w:rsid w:val="00BA00CB"/>
    <w:rsid w:val="00BB70FB"/>
    <w:rsid w:val="00BC79FF"/>
    <w:rsid w:val="00BD7072"/>
    <w:rsid w:val="00C11000"/>
    <w:rsid w:val="00C20AC8"/>
    <w:rsid w:val="00C26B9B"/>
    <w:rsid w:val="00C62C91"/>
    <w:rsid w:val="00C968F5"/>
    <w:rsid w:val="00CD189D"/>
    <w:rsid w:val="00CD4FE8"/>
    <w:rsid w:val="00D316F0"/>
    <w:rsid w:val="00D669DE"/>
    <w:rsid w:val="00D673D9"/>
    <w:rsid w:val="00D67A86"/>
    <w:rsid w:val="00D71CB5"/>
    <w:rsid w:val="00D92982"/>
    <w:rsid w:val="00D94161"/>
    <w:rsid w:val="00DB7273"/>
    <w:rsid w:val="00DE5024"/>
    <w:rsid w:val="00E00115"/>
    <w:rsid w:val="00E07248"/>
    <w:rsid w:val="00E233AA"/>
    <w:rsid w:val="00E317F5"/>
    <w:rsid w:val="00E8102E"/>
    <w:rsid w:val="00EC341B"/>
    <w:rsid w:val="00ED7ED8"/>
    <w:rsid w:val="00EF5FEC"/>
    <w:rsid w:val="00F000FA"/>
    <w:rsid w:val="00F0132A"/>
    <w:rsid w:val="00F07BF4"/>
    <w:rsid w:val="00F216E9"/>
    <w:rsid w:val="00F85BAD"/>
    <w:rsid w:val="00F92711"/>
    <w:rsid w:val="00FB3CA7"/>
    <w:rsid w:val="00FC22CA"/>
    <w:rsid w:val="00FF6440"/>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36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38FB"/>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5F12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F216E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216E9"/>
    <w:rPr>
      <w:rFonts w:ascii="Tahoma" w:hAnsi="Tahoma" w:cs="Tahoma"/>
      <w:sz w:val="16"/>
      <w:szCs w:val="16"/>
    </w:rPr>
  </w:style>
  <w:style w:type="paragraph" w:styleId="Encabezado">
    <w:name w:val="header"/>
    <w:basedOn w:val="Normal"/>
    <w:link w:val="EncabezadoCar"/>
    <w:uiPriority w:val="99"/>
    <w:unhideWhenUsed/>
    <w:rsid w:val="005C7B9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C7B90"/>
  </w:style>
  <w:style w:type="paragraph" w:styleId="Piedepgina">
    <w:name w:val="footer"/>
    <w:basedOn w:val="Normal"/>
    <w:link w:val="PiedepginaCar"/>
    <w:uiPriority w:val="99"/>
    <w:unhideWhenUsed/>
    <w:rsid w:val="005C7B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C7B90"/>
  </w:style>
  <w:style w:type="paragraph" w:styleId="Textonotapie">
    <w:name w:val="footnote text"/>
    <w:basedOn w:val="Normal"/>
    <w:link w:val="TextonotapieCar"/>
    <w:uiPriority w:val="99"/>
    <w:semiHidden/>
    <w:unhideWhenUsed/>
    <w:rsid w:val="005C7B90"/>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5C7B90"/>
    <w:rPr>
      <w:sz w:val="20"/>
      <w:szCs w:val="20"/>
    </w:rPr>
  </w:style>
  <w:style w:type="character" w:styleId="Refdenotaalpie">
    <w:name w:val="footnote reference"/>
    <w:basedOn w:val="Fuentedeprrafopredeter"/>
    <w:uiPriority w:val="99"/>
    <w:semiHidden/>
    <w:unhideWhenUsed/>
    <w:rsid w:val="005C7B90"/>
    <w:rPr>
      <w:vertAlign w:val="superscript"/>
    </w:rPr>
  </w:style>
  <w:style w:type="paragraph" w:styleId="Prrafodelista">
    <w:name w:val="List Paragraph"/>
    <w:basedOn w:val="Normal"/>
    <w:uiPriority w:val="34"/>
    <w:qFormat/>
    <w:rsid w:val="005C7B90"/>
    <w:pPr>
      <w:ind w:left="720"/>
      <w:contextualSpacing/>
    </w:pPr>
  </w:style>
  <w:style w:type="character" w:styleId="Refdecomentario">
    <w:name w:val="annotation reference"/>
    <w:basedOn w:val="Fuentedeprrafopredeter"/>
    <w:uiPriority w:val="99"/>
    <w:semiHidden/>
    <w:unhideWhenUsed/>
    <w:rsid w:val="006733C1"/>
    <w:rPr>
      <w:sz w:val="16"/>
      <w:szCs w:val="16"/>
    </w:rPr>
  </w:style>
  <w:style w:type="paragraph" w:styleId="Textocomentario">
    <w:name w:val="annotation text"/>
    <w:basedOn w:val="Normal"/>
    <w:link w:val="TextocomentarioCar"/>
    <w:uiPriority w:val="99"/>
    <w:semiHidden/>
    <w:unhideWhenUsed/>
    <w:rsid w:val="006733C1"/>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6733C1"/>
    <w:rPr>
      <w:sz w:val="20"/>
      <w:szCs w:val="20"/>
    </w:rPr>
  </w:style>
  <w:style w:type="paragraph" w:styleId="Asuntodelcomentario">
    <w:name w:val="annotation subject"/>
    <w:basedOn w:val="Textocomentario"/>
    <w:next w:val="Textocomentario"/>
    <w:link w:val="AsuntodelcomentarioCar"/>
    <w:uiPriority w:val="99"/>
    <w:semiHidden/>
    <w:unhideWhenUsed/>
    <w:rsid w:val="006733C1"/>
    <w:rPr>
      <w:b/>
      <w:bCs/>
    </w:rPr>
  </w:style>
  <w:style w:type="character" w:customStyle="1" w:styleId="AsuntodelcomentarioCar">
    <w:name w:val="Asunto del comentario Car"/>
    <w:basedOn w:val="TextocomentarioCar"/>
    <w:link w:val="Asuntodelcomentario"/>
    <w:uiPriority w:val="99"/>
    <w:semiHidden/>
    <w:rsid w:val="006733C1"/>
    <w:rPr>
      <w:b/>
      <w:bCs/>
      <w:sz w:val="20"/>
      <w:szCs w:val="20"/>
    </w:rPr>
  </w:style>
  <w:style w:type="character" w:styleId="Hipervnculo">
    <w:name w:val="Hyperlink"/>
    <w:basedOn w:val="Fuentedeprrafopredeter"/>
    <w:uiPriority w:val="99"/>
    <w:unhideWhenUsed/>
    <w:rsid w:val="00127AA2"/>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38FB"/>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5F12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F216E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216E9"/>
    <w:rPr>
      <w:rFonts w:ascii="Tahoma" w:hAnsi="Tahoma" w:cs="Tahoma"/>
      <w:sz w:val="16"/>
      <w:szCs w:val="16"/>
    </w:rPr>
  </w:style>
  <w:style w:type="paragraph" w:styleId="Encabezado">
    <w:name w:val="header"/>
    <w:basedOn w:val="Normal"/>
    <w:link w:val="EncabezadoCar"/>
    <w:uiPriority w:val="99"/>
    <w:unhideWhenUsed/>
    <w:rsid w:val="005C7B9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C7B90"/>
  </w:style>
  <w:style w:type="paragraph" w:styleId="Piedepgina">
    <w:name w:val="footer"/>
    <w:basedOn w:val="Normal"/>
    <w:link w:val="PiedepginaCar"/>
    <w:uiPriority w:val="99"/>
    <w:unhideWhenUsed/>
    <w:rsid w:val="005C7B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C7B90"/>
  </w:style>
  <w:style w:type="paragraph" w:styleId="Textonotapie">
    <w:name w:val="footnote text"/>
    <w:basedOn w:val="Normal"/>
    <w:link w:val="TextonotapieCar"/>
    <w:uiPriority w:val="99"/>
    <w:semiHidden/>
    <w:unhideWhenUsed/>
    <w:rsid w:val="005C7B90"/>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5C7B90"/>
    <w:rPr>
      <w:sz w:val="20"/>
      <w:szCs w:val="20"/>
    </w:rPr>
  </w:style>
  <w:style w:type="character" w:styleId="Refdenotaalpie">
    <w:name w:val="footnote reference"/>
    <w:basedOn w:val="Fuentedeprrafopredeter"/>
    <w:uiPriority w:val="99"/>
    <w:semiHidden/>
    <w:unhideWhenUsed/>
    <w:rsid w:val="005C7B90"/>
    <w:rPr>
      <w:vertAlign w:val="superscript"/>
    </w:rPr>
  </w:style>
  <w:style w:type="paragraph" w:styleId="Prrafodelista">
    <w:name w:val="List Paragraph"/>
    <w:basedOn w:val="Normal"/>
    <w:uiPriority w:val="34"/>
    <w:qFormat/>
    <w:rsid w:val="005C7B90"/>
    <w:pPr>
      <w:ind w:left="720"/>
      <w:contextualSpacing/>
    </w:pPr>
  </w:style>
  <w:style w:type="character" w:styleId="Refdecomentario">
    <w:name w:val="annotation reference"/>
    <w:basedOn w:val="Fuentedeprrafopredeter"/>
    <w:uiPriority w:val="99"/>
    <w:semiHidden/>
    <w:unhideWhenUsed/>
    <w:rsid w:val="006733C1"/>
    <w:rPr>
      <w:sz w:val="16"/>
      <w:szCs w:val="16"/>
    </w:rPr>
  </w:style>
  <w:style w:type="paragraph" w:styleId="Textocomentario">
    <w:name w:val="annotation text"/>
    <w:basedOn w:val="Normal"/>
    <w:link w:val="TextocomentarioCar"/>
    <w:uiPriority w:val="99"/>
    <w:semiHidden/>
    <w:unhideWhenUsed/>
    <w:rsid w:val="006733C1"/>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6733C1"/>
    <w:rPr>
      <w:sz w:val="20"/>
      <w:szCs w:val="20"/>
    </w:rPr>
  </w:style>
  <w:style w:type="paragraph" w:styleId="Asuntodelcomentario">
    <w:name w:val="annotation subject"/>
    <w:basedOn w:val="Textocomentario"/>
    <w:next w:val="Textocomentario"/>
    <w:link w:val="AsuntodelcomentarioCar"/>
    <w:uiPriority w:val="99"/>
    <w:semiHidden/>
    <w:unhideWhenUsed/>
    <w:rsid w:val="006733C1"/>
    <w:rPr>
      <w:b/>
      <w:bCs/>
    </w:rPr>
  </w:style>
  <w:style w:type="character" w:customStyle="1" w:styleId="AsuntodelcomentarioCar">
    <w:name w:val="Asunto del comentario Car"/>
    <w:basedOn w:val="TextocomentarioCar"/>
    <w:link w:val="Asuntodelcomentario"/>
    <w:uiPriority w:val="99"/>
    <w:semiHidden/>
    <w:rsid w:val="006733C1"/>
    <w:rPr>
      <w:b/>
      <w:bCs/>
      <w:sz w:val="20"/>
      <w:szCs w:val="20"/>
    </w:rPr>
  </w:style>
  <w:style w:type="character" w:styleId="Hipervnculo">
    <w:name w:val="Hyperlink"/>
    <w:basedOn w:val="Fuentedeprrafopredeter"/>
    <w:uiPriority w:val="99"/>
    <w:unhideWhenUsed/>
    <w:rsid w:val="00127AA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7427127">
      <w:bodyDiv w:val="1"/>
      <w:marLeft w:val="0"/>
      <w:marRight w:val="0"/>
      <w:marTop w:val="0"/>
      <w:marBottom w:val="0"/>
      <w:divBdr>
        <w:top w:val="none" w:sz="0" w:space="0" w:color="auto"/>
        <w:left w:val="none" w:sz="0" w:space="0" w:color="auto"/>
        <w:bottom w:val="none" w:sz="0" w:space="0" w:color="auto"/>
        <w:right w:val="none" w:sz="0" w:space="0" w:color="auto"/>
      </w:divBdr>
    </w:div>
    <w:div w:id="754204896">
      <w:bodyDiv w:val="1"/>
      <w:marLeft w:val="0"/>
      <w:marRight w:val="0"/>
      <w:marTop w:val="0"/>
      <w:marBottom w:val="0"/>
      <w:divBdr>
        <w:top w:val="none" w:sz="0" w:space="0" w:color="auto"/>
        <w:left w:val="none" w:sz="0" w:space="0" w:color="auto"/>
        <w:bottom w:val="none" w:sz="0" w:space="0" w:color="auto"/>
        <w:right w:val="none" w:sz="0" w:space="0" w:color="auto"/>
      </w:divBdr>
    </w:div>
    <w:div w:id="1666591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beatriz.riveros@dgar.cl" TargetMode="Externa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mailto:beatriz.riveros@dgar.cl" TargetMode="External"/><Relationship Id="rId4" Type="http://schemas.microsoft.com/office/2007/relationships/stylesWithEffects" Target="stylesWithEffects.xml"/><Relationship Id="rId9" Type="http://schemas.openxmlformats.org/officeDocument/2006/relationships/hyperlink" Target="mailto:etrujillo@aconcaguafoods.cl" TargetMode="Externa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6E3C1-3030-46FB-B2CB-F5C1D304C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6860</Words>
  <Characters>37732</Characters>
  <Application>Microsoft Office Word</Application>
  <DocSecurity>0</DocSecurity>
  <Lines>314</Lines>
  <Paragraphs>89</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44503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Beatriz Riveros</cp:lastModifiedBy>
  <cp:revision>2</cp:revision>
  <cp:lastPrinted>2019-05-14T15:50:00Z</cp:lastPrinted>
  <dcterms:created xsi:type="dcterms:W3CDTF">2019-05-14T15:56:00Z</dcterms:created>
  <dcterms:modified xsi:type="dcterms:W3CDTF">2019-05-14T15:56:00Z</dcterms:modified>
</cp:coreProperties>
</file>